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7E" w:rsidRPr="00716E97" w:rsidRDefault="0069757E" w:rsidP="00DA65BD">
      <w:pPr>
        <w:pStyle w:val="191"/>
        <w:shd w:val="clear" w:color="auto" w:fill="auto"/>
        <w:spacing w:line="240" w:lineRule="auto"/>
        <w:ind w:firstLine="720"/>
        <w:jc w:val="center"/>
        <w:rPr>
          <w:rStyle w:val="190"/>
          <w:sz w:val="24"/>
          <w:szCs w:val="24"/>
        </w:rPr>
      </w:pPr>
      <w:r w:rsidRPr="00716E97">
        <w:rPr>
          <w:rStyle w:val="190"/>
          <w:sz w:val="24"/>
          <w:szCs w:val="24"/>
        </w:rPr>
        <w:t>Договор о задатке №</w:t>
      </w:r>
    </w:p>
    <w:p w:rsidR="0069757E" w:rsidRPr="00716E97" w:rsidRDefault="0069757E" w:rsidP="00DA65BD">
      <w:pPr>
        <w:pStyle w:val="191"/>
        <w:shd w:val="clear" w:color="auto" w:fill="auto"/>
        <w:spacing w:line="240" w:lineRule="auto"/>
        <w:ind w:firstLine="720"/>
        <w:jc w:val="center"/>
        <w:rPr>
          <w:rStyle w:val="190"/>
          <w:sz w:val="24"/>
          <w:szCs w:val="24"/>
        </w:rPr>
      </w:pPr>
    </w:p>
    <w:p w:rsidR="0069757E" w:rsidRPr="00716E97" w:rsidRDefault="0069757E" w:rsidP="00DA65BD">
      <w:pPr>
        <w:pStyle w:val="191"/>
        <w:shd w:val="clear" w:color="auto" w:fill="auto"/>
        <w:spacing w:line="240" w:lineRule="auto"/>
        <w:ind w:firstLine="720"/>
        <w:jc w:val="center"/>
        <w:rPr>
          <w:rStyle w:val="190"/>
          <w:sz w:val="24"/>
          <w:szCs w:val="24"/>
        </w:rPr>
      </w:pPr>
      <w:r w:rsidRPr="00716E97">
        <w:rPr>
          <w:rStyle w:val="190"/>
          <w:sz w:val="24"/>
          <w:szCs w:val="24"/>
        </w:rPr>
        <w:t>Г. Ростов-на-Дону</w:t>
      </w:r>
      <w:r w:rsidRPr="00716E97">
        <w:rPr>
          <w:rStyle w:val="190"/>
          <w:sz w:val="24"/>
          <w:szCs w:val="24"/>
        </w:rPr>
        <w:tab/>
      </w:r>
      <w:r w:rsidRPr="00716E97">
        <w:rPr>
          <w:rStyle w:val="190"/>
          <w:sz w:val="24"/>
          <w:szCs w:val="24"/>
        </w:rPr>
        <w:tab/>
      </w:r>
      <w:r w:rsidRPr="00716E97">
        <w:rPr>
          <w:rStyle w:val="190"/>
          <w:sz w:val="24"/>
          <w:szCs w:val="24"/>
        </w:rPr>
        <w:tab/>
      </w:r>
      <w:r w:rsidRPr="00716E97">
        <w:rPr>
          <w:rStyle w:val="190"/>
          <w:sz w:val="24"/>
          <w:szCs w:val="24"/>
        </w:rPr>
        <w:tab/>
      </w:r>
      <w:r w:rsidRPr="00716E97">
        <w:rPr>
          <w:rStyle w:val="190"/>
          <w:sz w:val="24"/>
          <w:szCs w:val="24"/>
        </w:rPr>
        <w:tab/>
        <w:t xml:space="preserve">«__»________ </w:t>
      </w:r>
      <w:smartTag w:uri="urn:schemas-microsoft-com:office:smarttags" w:element="metricconverter">
        <w:smartTagPr>
          <w:attr w:name="ProductID" w:val="2017 г"/>
        </w:smartTagPr>
        <w:r w:rsidRPr="00716E97">
          <w:rPr>
            <w:rStyle w:val="190"/>
            <w:sz w:val="24"/>
            <w:szCs w:val="24"/>
          </w:rPr>
          <w:t>2017 г</w:t>
        </w:r>
      </w:smartTag>
      <w:r w:rsidRPr="00716E97">
        <w:rPr>
          <w:rStyle w:val="190"/>
          <w:sz w:val="24"/>
          <w:szCs w:val="24"/>
        </w:rPr>
        <w:t>.</w:t>
      </w:r>
    </w:p>
    <w:p w:rsidR="0069757E" w:rsidRPr="00716E97" w:rsidRDefault="0069757E" w:rsidP="00DA65BD">
      <w:pPr>
        <w:pStyle w:val="191"/>
        <w:shd w:val="clear" w:color="auto" w:fill="auto"/>
        <w:spacing w:line="240" w:lineRule="auto"/>
        <w:ind w:firstLine="720"/>
        <w:jc w:val="center"/>
        <w:rPr>
          <w:rStyle w:val="190"/>
          <w:sz w:val="24"/>
          <w:szCs w:val="24"/>
        </w:rPr>
      </w:pPr>
    </w:p>
    <w:p w:rsidR="0069757E" w:rsidRPr="00716E97" w:rsidRDefault="0069757E" w:rsidP="00DA65BD">
      <w:pPr>
        <w:pStyle w:val="191"/>
        <w:shd w:val="clear" w:color="auto" w:fill="auto"/>
        <w:spacing w:line="240" w:lineRule="auto"/>
        <w:ind w:firstLine="720"/>
        <w:jc w:val="both"/>
        <w:rPr>
          <w:sz w:val="24"/>
          <w:szCs w:val="24"/>
        </w:rPr>
      </w:pPr>
      <w:r w:rsidRPr="00716E97">
        <w:rPr>
          <w:b w:val="0"/>
          <w:sz w:val="24"/>
          <w:szCs w:val="24"/>
        </w:rPr>
        <w:t>ООО НПП «СпецСтрой-Связь» (ИНН 6154064140, ОГРН 1096163000450, Ростовская область, г. Таганрог, ул. Большая Бульварная, 13-26) в лице Конкурсного управляющего Ушанова Нарана Сергеевича, действующего на основании Решения Арбитражного суда Ростовской области от 22.01.2016г. по делу №А53-9189/2015</w:t>
      </w:r>
      <w:r w:rsidRPr="00716E97">
        <w:rPr>
          <w:rStyle w:val="190"/>
          <w:b/>
          <w:sz w:val="24"/>
          <w:szCs w:val="24"/>
        </w:rPr>
        <w:t>,</w:t>
      </w:r>
      <w:r w:rsidRPr="00716E97">
        <w:rPr>
          <w:rStyle w:val="190"/>
          <w:sz w:val="24"/>
          <w:szCs w:val="24"/>
        </w:rPr>
        <w:t xml:space="preserve"> именуемое в дальнейшем Общество, с одной стороны, и _______________________________, именуемый в дальнейшем «Претендент», с другой стороны, вместе именуемые - «Стороны», заключили настоящий Договор о нижеследующем:</w:t>
      </w:r>
    </w:p>
    <w:p w:rsidR="0069757E" w:rsidRPr="00716E97" w:rsidRDefault="0069757E" w:rsidP="00DA65BD">
      <w:pPr>
        <w:pStyle w:val="110"/>
        <w:shd w:val="clear" w:color="auto" w:fill="auto"/>
        <w:tabs>
          <w:tab w:val="left" w:pos="3544"/>
        </w:tabs>
        <w:spacing w:line="240" w:lineRule="auto"/>
        <w:ind w:firstLine="720"/>
        <w:jc w:val="center"/>
        <w:rPr>
          <w:rStyle w:val="111"/>
          <w:b w:val="0"/>
          <w:sz w:val="24"/>
          <w:szCs w:val="24"/>
        </w:rPr>
      </w:pPr>
      <w:r w:rsidRPr="00716E97">
        <w:rPr>
          <w:rStyle w:val="111"/>
          <w:b w:val="0"/>
          <w:sz w:val="24"/>
          <w:szCs w:val="24"/>
        </w:rPr>
        <w:t>1. ПРЕДМЕТ ДОГОВОРА</w:t>
      </w:r>
    </w:p>
    <w:p w:rsidR="0069757E" w:rsidRPr="00716E97" w:rsidRDefault="0069757E" w:rsidP="00783CE2">
      <w:pPr>
        <w:ind w:firstLine="709"/>
        <w:jc w:val="both"/>
        <w:rPr>
          <w:rFonts w:ascii="Times New Roman" w:hAnsi="Times New Roman" w:cs="Times New Roman"/>
        </w:rPr>
      </w:pPr>
      <w:r w:rsidRPr="00716E97">
        <w:rPr>
          <w:rStyle w:val="190"/>
          <w:b w:val="0"/>
          <w:sz w:val="24"/>
          <w:szCs w:val="24"/>
        </w:rPr>
        <w:t xml:space="preserve">1.1. Претендент вносит задаток Обществу в счет обеспечения оплаты приобретенного на торгах (аукционе) имущества </w:t>
      </w:r>
      <w:r w:rsidRPr="00716E97">
        <w:rPr>
          <w:rFonts w:ascii="Times New Roman" w:hAnsi="Times New Roman" w:cs="Times New Roman"/>
        </w:rPr>
        <w:t>ООО НПП «СПЕЦСТРОЙ-СВЯЗЬ» (ИНН 6154064140, ОГРН 1096163000450, Ростовская область, г. Таганрог, ул. Большая Бульварная, 13-26), проводимых организатором торгов - ООО «РЕГИОН-ТОРГИ». Претенденты могут подавать свои заявки, посредством системы электронного документооборота, начиная с момента публикации извещения о торгах на сайте в сети Интернет по адресу: www.tenderstandart.ru, с 16.00 ч. 16.10.17 г. до 18:00 ч. 22.11.17 г. Дата определения участников торгов - 23.11.17 г. на сайте: www.tenderstandart.ru. Дата проведения торгов: 24.11.17 г. в 13.00 ч. Подведение итогов торгов состоится 24.11.17 г. на сайте: www.tenderstandart.ru, в течение часа после окончания торгов.</w:t>
      </w:r>
    </w:p>
    <w:p w:rsidR="0069757E" w:rsidRPr="00716E97" w:rsidRDefault="0069757E" w:rsidP="00783CE2">
      <w:pPr>
        <w:ind w:firstLine="709"/>
        <w:jc w:val="center"/>
        <w:rPr>
          <w:rStyle w:val="111"/>
          <w:b w:val="0"/>
          <w:sz w:val="24"/>
          <w:szCs w:val="24"/>
        </w:rPr>
      </w:pPr>
      <w:r w:rsidRPr="00716E97">
        <w:rPr>
          <w:rStyle w:val="111"/>
          <w:b w:val="0"/>
          <w:sz w:val="24"/>
          <w:szCs w:val="24"/>
        </w:rPr>
        <w:t>2. УСЛОВИЯ ДОГОВОРА</w:t>
      </w:r>
    </w:p>
    <w:p w:rsidR="0069757E" w:rsidRPr="00716E97" w:rsidRDefault="0069757E" w:rsidP="00A70359">
      <w:pPr>
        <w:ind w:firstLine="709"/>
        <w:jc w:val="both"/>
        <w:rPr>
          <w:rFonts w:ascii="Times New Roman" w:hAnsi="Times New Roman" w:cs="Times New Roman"/>
        </w:rPr>
      </w:pPr>
      <w:r w:rsidRPr="00716E97">
        <w:rPr>
          <w:rStyle w:val="190"/>
          <w:b w:val="0"/>
          <w:sz w:val="24"/>
          <w:szCs w:val="24"/>
        </w:rPr>
        <w:t xml:space="preserve">2.1. Претендент вносит в полном объеме задаток в размере </w:t>
      </w:r>
      <w:bookmarkStart w:id="0" w:name="_GoBack"/>
      <w:bookmarkEnd w:id="0"/>
      <w:r w:rsidRPr="00716E97">
        <w:rPr>
          <w:rStyle w:val="190"/>
          <w:b w:val="0"/>
          <w:sz w:val="24"/>
          <w:szCs w:val="24"/>
        </w:rPr>
        <w:t xml:space="preserve">5% от начальной цены продажи имущества по следующему лоту: </w:t>
      </w:r>
      <w:r w:rsidRPr="00716E97">
        <w:rPr>
          <w:rFonts w:ascii="Times New Roman" w:hAnsi="Times New Roman" w:cs="Times New Roman"/>
          <w:b/>
          <w:bCs/>
        </w:rPr>
        <w:t>Лот №5</w:t>
      </w:r>
      <w:r w:rsidRPr="00716E97">
        <w:rPr>
          <w:rFonts w:ascii="Times New Roman" w:hAnsi="Times New Roman" w:cs="Times New Roman"/>
        </w:rPr>
        <w:t xml:space="preserve">. </w:t>
      </w:r>
      <w:smartTag w:uri="urn:schemas-microsoft-com:office:smarttags" w:element="metricconverter">
        <w:smartTagPr>
          <w:attr w:name="ProductID" w:val="19”"/>
        </w:smartTagPr>
        <w:r w:rsidRPr="00716E97">
          <w:rPr>
            <w:rFonts w:ascii="Times New Roman" w:hAnsi="Times New Roman" w:cs="Times New Roman"/>
          </w:rPr>
          <w:t>19”</w:t>
        </w:r>
      </w:smartTag>
      <w:r w:rsidRPr="00716E97">
        <w:rPr>
          <w:rFonts w:ascii="Times New Roman" w:hAnsi="Times New Roman" w:cs="Times New Roman"/>
        </w:rPr>
        <w:t xml:space="preserve"> Шкаф монтажный напольный EcoLine 42U, HP LaserJet 3390 Q6500A; A4 21 стр/мин 64Mb принтер, HP LaserJet 3390 Q6500A; A4 21 стр/мин 64Mb принтер, Авт. линия пов. монтажа печ. плат (после част выбытия), Автомат установки ПМИ высокопроизводительный, 1 шт., Автоматич. сварочный аппарат IFS-10 в комплекте, Анализатор потока AFK-E1, Анализатор спектра FSL3 (1300.250К03) сер.№100801, Анализатор спектра СКЧ-56, 2 шт., Аппарат переплетный FELLOWES PB 2450, Бетоносмеситель ЕРМ 160, Блок питания UPS 2200VA Smart APC SU2200RMXLI3U, Водонагреватель проточный, 1,4 куб. м/ч, Вольтметр GDM-8145, 3 шт., Генератор Г3-112А, Генератор Г3-56/1, Греденция L142 CANNES/PERTH, Двойной внутренний питатель из матричных поддонов, 1 шт., Жесткий диск HDD 146.8 Gb SAS Seagate Cheetah 15K, 2 шт., Измеритель нелинейных искажений С6-11, 2 шт., Измеритель параметров мощных транзисторов Я9Л-35, Испытат. стенд з.н. 001/827 Алмаз, Испытат. стенд з.н. 002/014 Вектор, Испытат. стенд з.н. 003/433 Алмаз, Испытат. стенд з.н. 004/1359 Вектор, Испытат. стенд з.н. 005/809 Алмаз, Испытат. стенд з.н. 006/3542 Алмаз, Испытат. стенд з.н. 007/3347 Алмаз, Испытат. стенд з.н. 008/015 Вектор, Испытат. стенд з.н. 009/521 Вектор, Испытат. стенд з.н. 010/011 Алмаз, Испытат. стенд з.н. 011/373 Вектор, Испытат. стенд з.н. 012/014 Алмаз, Испытат. стенд з.н. 013/431 Алмаз, Испытат. стенд з.н. 014/349 Алмаз, Испытат. стенд з.н. 015/1457 Вектор, Испытат. стенд з.н. 016/816 Алмаз, Карманный компьютер ASUS MYPAL A696, Кинопульт-процессор, Колонный кондиционер JAX-ACF-48HE, Коммутатор Cisco WS-C2960-24TT-L Catalyst 2960 24, Коммутатор D-Link DES-3226 24-port UTP 10/100 Mbps, Коммутатор D-Link DES-3226S 24-port UTP 10/100 Mbps, Коммутатор D-Link DGS-3212SR 4хCombo SFP/Giga UTP, Коммутатор L2 управл. 48х10/100, 2хSFP (DES-3550), Коммутатор L2 управл./48*10/100, 2xSFP (DES-3550), Коммутатор Sonyer P990i sil, Компрессор Jun-Air 4000-40MD3, 1 шт., Компьютер Celeron 1, 7/256/60/DVD, Компьютер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LCD Semtron 2200/256/60/, Компьютер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Celeron 2, 4/256/80/DVD, Компьютер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Celeron 2, 4/256/60/CD, Компьютер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LCD Celeron 1, 7/256/40/DVD, Компьютер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LCD Celeron 2, 0/256/80/CD, Компьютер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LCD Celeron 2, 0/256/80/CD, Компьютер Aquarius Pro Elt E50 S54, Компьютер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LCD Celeron 2, 4/256/60/DVD, Компьютер </w:t>
      </w:r>
      <w:smartTag w:uri="urn:schemas-microsoft-com:office:smarttags" w:element="metricconverter">
        <w:smartTagPr>
          <w:attr w:name="ProductID" w:val="17”"/>
        </w:smartTagPr>
        <w:r w:rsidRPr="00716E97">
          <w:rPr>
            <w:rFonts w:ascii="Times New Roman" w:hAnsi="Times New Roman" w:cs="Times New Roman"/>
          </w:rPr>
          <w:t>17”</w:t>
        </w:r>
      </w:smartTag>
      <w:r w:rsidRPr="00716E97">
        <w:rPr>
          <w:rFonts w:ascii="Times New Roman" w:hAnsi="Times New Roman" w:cs="Times New Roman"/>
        </w:rPr>
        <w:t xml:space="preserve"> Pentium4 2, 66/512/120/CD, Компьютер </w:t>
      </w:r>
      <w:smartTag w:uri="urn:schemas-microsoft-com:office:smarttags" w:element="metricconverter">
        <w:smartTagPr>
          <w:attr w:name="ProductID" w:val="19”"/>
        </w:smartTagPr>
        <w:r w:rsidRPr="00716E97">
          <w:rPr>
            <w:rFonts w:ascii="Times New Roman" w:hAnsi="Times New Roman" w:cs="Times New Roman"/>
          </w:rPr>
          <w:t>19”</w:t>
        </w:r>
      </w:smartTag>
      <w:r w:rsidRPr="00716E97">
        <w:rPr>
          <w:rFonts w:ascii="Times New Roman" w:hAnsi="Times New Roman" w:cs="Times New Roman"/>
        </w:rPr>
        <w:t xml:space="preserve"> Celeron 3, 46/1G/160Gb/DVD, Компьютер </w:t>
      </w:r>
      <w:smartTag w:uri="urn:schemas-microsoft-com:office:smarttags" w:element="metricconverter">
        <w:smartTagPr>
          <w:attr w:name="ProductID" w:val="19”"/>
        </w:smartTagPr>
        <w:r w:rsidRPr="00716E97">
          <w:rPr>
            <w:rFonts w:ascii="Times New Roman" w:hAnsi="Times New Roman" w:cs="Times New Roman"/>
          </w:rPr>
          <w:t>19”</w:t>
        </w:r>
      </w:smartTag>
      <w:r w:rsidRPr="00716E97">
        <w:rPr>
          <w:rFonts w:ascii="Times New Roman" w:hAnsi="Times New Roman" w:cs="Times New Roman"/>
        </w:rPr>
        <w:t xml:space="preserve"> Celeron 3, 46/512Mb/160Gb/DVD, Компьютер AMD 950/256/60Gb/ATX, Компьютер AMD Duron 950/256/40G/CD-ROM, Компьютер 15"LCD Celeron 2, 4/256/40/, Компьютер Aquarius Pro p30 s 46/WinXP Pro 5 шт., Компьютер Athlon 64 1, 8/512/120/DVD, Компьютер ATHLON 64/512Mb/160Gb/DVD+RW, Компьютер Celeron 2, 4/256/CD, Компьютер Celeron 2, 26/512/120/CD, Компьютер Celeron 1, 7/128/40Gb/DVD-RW, Компьютер Celeron 2, 4/256/CD, Компьютер Core2Duo E6550/2Gb/2Tb/DVD-RW, Компьютер Celeron 2/256Mb/80Gb/CD-ROM, Компьютер Celeron 2, 6/512/120/DVD, Компьютер HP Celeron 2, 4/256/80/CD, 3 шт., Компьютер HP-Dupon 800/256/60/CD, Компьютер Intel Core2Duo E 6400/2Gb/250Gb/DVD-RW, Компьютер Intel Core Duo E6300/2Gb/250Gb/DVD-RW, 2 шт., Компьютер Intel Core2 QX 3.2/1Gb Vc GeForceGTX/1Tb, Компьютер intel Core2Duo 3.0/2G/768M Video/1Tb Sata, Компьютер P4 2.0/512/80/DVD, Компьютер Pentium 2.4/256/120/SVGA//Lan/Audio/DVD, Компьютер Pentium 4 2, 4/512/80/DVD, Компьютер Pentium E2140/512Mb/160Gb/DVD+R/RW, Компьютер SEMPRON 3000/250Gb/80Gb/DVD-RW, 2 шт., Компьютер SEMPRON 3000/512Gb/80Gb/DVD-RW, Компьютер Z0EM/H Mac Pro 8-core 2G/320G/ATI/ Radeo, Кондиционер JAX-ACS-30HE, Кондиционер Acson AWM015G/ALC015C, Кондиционер Acson ACK15CR/ALC15CR, 2 шт., Кондиционер Panasonic CS-E 12 GKD, Копир, Корпус Case ATX Inwin server Q2000 460W ATX P4/Xeo, Котельная №1, оснащ. автоматикой безоп-ти АБК Бул13, Маршрутизатор DSLPIPE DSL-HST-E, Мебель, Модел. оснастка «Корпус КЮГН301126.019» модернизиров., Модем FlexDSL FG-PAM-SR4L-4E1B/4Eth-RP, Молоток отбойный ПЦ 400Т (Интерскол), Монитор Apple Thunderbolt Display </w:t>
      </w:r>
      <w:smartTag w:uri="urn:schemas-microsoft-com:office:smarttags" w:element="metricconverter">
        <w:smartTagPr>
          <w:attr w:name="ProductID" w:val="27”"/>
        </w:smartTagPr>
        <w:r w:rsidRPr="00716E97">
          <w:rPr>
            <w:rFonts w:ascii="Times New Roman" w:hAnsi="Times New Roman" w:cs="Times New Roman"/>
          </w:rPr>
          <w:t>27”</w:t>
        </w:r>
      </w:smartTag>
      <w:r w:rsidRPr="00716E97">
        <w:rPr>
          <w:rFonts w:ascii="Times New Roman" w:hAnsi="Times New Roman" w:cs="Times New Roman"/>
        </w:rPr>
        <w:t xml:space="preserve"> MC914ZE/B, Ноутбук ASN-F3T/TRTL52/1024/120/DVD-RW DL/B/ASUS, МФУ HP LJ3390 (копир/принтер/сканер/факс), Ноутбук Acer Aspire 5920G-1A1G16Mi N5250 (1.5)/1G/, Ноутбук Acer TravelMate, Ноутбук Acer TravelMate LC, Моноблок ПК серии «NTL C7iT55V», Ноутбук Asus, 2 шт., ноутбук Asus A2500D AXP-M-2.8+/256/60/DVD-CDRW/Win, Ноутбук ASUS F6E/COT2390/2048/160/DVD-RW DL/V/VHB, Ноутбук ASUS F7SR T5550(1.83)/1024/160(5400)/DVD, Ноутбук ASUS F8SR T7250 (2.0)/2048/250(5400)/DVD-R, Ноутбук ASUS X59SL T2390(1.8)/2048/160(5400)/DVD-R, Ноутбук ASUS W6K00A PM-1.73(2Mb)/512Mb/60Gb/13.3”, Ноутбук ASUS UL30A SU2300(1.2)/4096/320(5400)/DVD, Ноутбук Compag 6720s T7250/1024/160/DVD-RW/WiFi/B 4 шт., Ноутбук Compag 6820s, Ноутбук Compag HP 550 CM530/1024/120/DVD-RW/15, </w:t>
      </w:r>
      <w:smartTag w:uri="urn:schemas-microsoft-com:office:smarttags" w:element="metricconverter">
        <w:smartTagPr>
          <w:attr w:name="ProductID" w:val="4”"/>
        </w:smartTagPr>
        <w:r w:rsidRPr="00716E97">
          <w:rPr>
            <w:rFonts w:ascii="Times New Roman" w:hAnsi="Times New Roman" w:cs="Times New Roman"/>
          </w:rPr>
          <w:t>4”</w:t>
        </w:r>
      </w:smartTag>
      <w:r w:rsidRPr="00716E97">
        <w:rPr>
          <w:rFonts w:ascii="Times New Roman" w:hAnsi="Times New Roman" w:cs="Times New Roman"/>
        </w:rPr>
        <w:t xml:space="preserve">, Ноутбук Compag HP 550 T5270/2G/160/DVDRW/15, </w:t>
      </w:r>
      <w:smartTag w:uri="urn:schemas-microsoft-com:office:smarttags" w:element="metricconverter">
        <w:smartTagPr>
          <w:attr w:name="ProductID" w:val="4”"/>
        </w:smartTagPr>
        <w:r w:rsidRPr="00716E97">
          <w:rPr>
            <w:rFonts w:ascii="Times New Roman" w:hAnsi="Times New Roman" w:cs="Times New Roman"/>
          </w:rPr>
          <w:t>4”</w:t>
        </w:r>
      </w:smartTag>
      <w:r w:rsidRPr="00716E97">
        <w:rPr>
          <w:rFonts w:ascii="Times New Roman" w:hAnsi="Times New Roman" w:cs="Times New Roman"/>
        </w:rPr>
        <w:t xml:space="preserve">, Ноутбук Compag Intel, Ноутбук Compag Intel 7300, Ноутбук Compag nx6310, 2 шт., Ноутбук Compag nx6320, Ноутбук Compaq Tablet PC TC 1100, 2 шт., Ноутбук Compaq 6715s TL60/1024/160/DVD-RW/WiFi/B, Ноутбук Dell Insp MK36, Ноутбук Fujitsu-Siemens AMILO, Ноутбук Fujitsu-Siemens AMILO D-7850 (RUS-152100), Ноутбук HP 7 шт., Ноутбук hp 6310, Ноутбук hp nx7300, 2 шт., Ноутбук HP nx7400 C410 (1.46)/256/60/DVDRW, Ноутбук HP nx9005 C-2.4/256/30/DVD-CDRW/LAN/Fm/, 2 шт., Ноутбук iRU Intro 1214 C-2.4/256/20G/14/Combo/Fm/L, Ноутбук Lenovo IdeaPad Y 430-1 P8400(2.26)/4096/32, Ноутбук MacBook </w:t>
      </w:r>
      <w:smartTag w:uri="urn:schemas-microsoft-com:office:smarttags" w:element="metricconverter">
        <w:smartTagPr>
          <w:attr w:name="ProductID" w:val="13”"/>
        </w:smartTagPr>
        <w:r w:rsidRPr="00716E97">
          <w:rPr>
            <w:rFonts w:ascii="Times New Roman" w:hAnsi="Times New Roman" w:cs="Times New Roman"/>
          </w:rPr>
          <w:t>13”</w:t>
        </w:r>
      </w:smartTag>
      <w:r w:rsidRPr="00716E97">
        <w:rPr>
          <w:rFonts w:ascii="Times New Roman" w:hAnsi="Times New Roman" w:cs="Times New Roman"/>
        </w:rPr>
        <w:t xml:space="preserve"> ZODG, Ноутбук Pather E415L VIA C3-1.0/128/20/CD/N0FDD/Fm, Ноутбук Rover, Ноутбук Samsung P28 (Celeron M), Ноутбук Samsung P28, 2 шт., Ноутбук Samsung V30, Ноутбук Samsung V30 NV30MH0415 P4-M-2.8/512/40/DV, Ноутбук Sony VAIO, Ноутбук Sony Vaio VGN-FW11SR, Ноутбук Sony VGN-FZ11SR T7100/2G/160/DVDRW, Ноутбук TOSHIBA Satellite L30-113-RU CM430 (1.73), Опция TDS3BATC, Оснастка для печати (В4/37/01), Оснастка для производства корпуса УДГС, Оснастка для производства решетки корпуса УДГС, Осциллограф GDS-810S, 2 шт., Осциллограф GDS-830, Осциллограф GOS-6031, 2 шт., Осциллограф TektronixTDS3054B с опцией, Осциллограф С1-120, Осциллограф С1-126, Осциллограф С1-93, Охранная сигнализация (Октябрьская, 21), Охранная сигнализация 2 эт. Произв. Корп. Ком. 202, 202а, 202б, Переносной компьютер 9 шт., Паяльная станция MX500S-21, 2 шт., Охранно-пожарная сигнализация (Греческая, 90), Персональный компьютер 83 шт., Питатель из пеналов (база), 2 шт., Питатель12 мм ленты из катушки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карман </w:t>
      </w:r>
      <w:smartTag w:uri="urn:schemas-microsoft-com:office:smarttags" w:element="metricconverter">
        <w:smartTagPr>
          <w:attr w:name="ProductID" w:val="7 мм"/>
        </w:smartTagPr>
        <w:r w:rsidRPr="00716E97">
          <w:rPr>
            <w:rFonts w:ascii="Times New Roman" w:hAnsi="Times New Roman" w:cs="Times New Roman"/>
          </w:rPr>
          <w:t>7 мм</w:t>
        </w:r>
      </w:smartTag>
      <w:r w:rsidRPr="00716E97">
        <w:rPr>
          <w:rFonts w:ascii="Times New Roman" w:hAnsi="Times New Roman" w:cs="Times New Roman"/>
        </w:rPr>
        <w:t xml:space="preserve">, CL, PSA 6 шт., Питатель16 мм ленты из катушки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карман </w:t>
      </w:r>
      <w:smartTag w:uri="urn:schemas-microsoft-com:office:smarttags" w:element="metricconverter">
        <w:smartTagPr>
          <w:attr w:name="ProductID" w:val="11 мм"/>
        </w:smartTagPr>
        <w:r w:rsidRPr="00716E97">
          <w:rPr>
            <w:rFonts w:ascii="Times New Roman" w:hAnsi="Times New Roman" w:cs="Times New Roman"/>
          </w:rPr>
          <w:t>11 мм</w:t>
        </w:r>
      </w:smartTag>
      <w:r w:rsidRPr="00716E97">
        <w:rPr>
          <w:rFonts w:ascii="Times New Roman" w:hAnsi="Times New Roman" w:cs="Times New Roman"/>
        </w:rPr>
        <w:t xml:space="preserve">, CL, 2 шт., Питатель </w:t>
      </w:r>
      <w:smartTag w:uri="urn:schemas-microsoft-com:office:smarttags" w:element="metricconverter">
        <w:smartTagPr>
          <w:attr w:name="ProductID" w:val="24 мм"/>
        </w:smartTagPr>
        <w:r w:rsidRPr="00716E97">
          <w:rPr>
            <w:rFonts w:ascii="Times New Roman" w:hAnsi="Times New Roman" w:cs="Times New Roman"/>
          </w:rPr>
          <w:t>24 мм</w:t>
        </w:r>
      </w:smartTag>
      <w:r w:rsidRPr="00716E97">
        <w:rPr>
          <w:rFonts w:ascii="Times New Roman" w:hAnsi="Times New Roman" w:cs="Times New Roman"/>
        </w:rPr>
        <w:t xml:space="preserve"> ленты из катушки </w:t>
      </w:r>
      <w:smartTag w:uri="urn:schemas-microsoft-com:office:smarttags" w:element="metricconverter">
        <w:smartTagPr>
          <w:attr w:name="ProductID" w:val="15”"/>
        </w:smartTagPr>
        <w:r w:rsidRPr="00716E97">
          <w:rPr>
            <w:rFonts w:ascii="Times New Roman" w:hAnsi="Times New Roman" w:cs="Times New Roman"/>
          </w:rPr>
          <w:t>15”</w:t>
        </w:r>
      </w:smartTag>
      <w:r w:rsidRPr="00716E97">
        <w:rPr>
          <w:rFonts w:ascii="Times New Roman" w:hAnsi="Times New Roman" w:cs="Times New Roman"/>
        </w:rPr>
        <w:t xml:space="preserve">, карман </w:t>
      </w:r>
      <w:smartTag w:uri="urn:schemas-microsoft-com:office:smarttags" w:element="metricconverter">
        <w:smartTagPr>
          <w:attr w:name="ProductID" w:val="15 мм"/>
        </w:smartTagPr>
        <w:r w:rsidRPr="00716E97">
          <w:rPr>
            <w:rFonts w:ascii="Times New Roman" w:hAnsi="Times New Roman" w:cs="Times New Roman"/>
          </w:rPr>
          <w:t>15 мм</w:t>
        </w:r>
      </w:smartTag>
      <w:r w:rsidRPr="00716E97">
        <w:rPr>
          <w:rFonts w:ascii="Times New Roman" w:hAnsi="Times New Roman" w:cs="Times New Roman"/>
        </w:rPr>
        <w:t xml:space="preserve">, CL, 3 шт., Питатель </w:t>
      </w:r>
      <w:smartTag w:uri="urn:schemas-microsoft-com:office:smarttags" w:element="metricconverter">
        <w:smartTagPr>
          <w:attr w:name="ProductID" w:val="8 мм"/>
        </w:smartTagPr>
        <w:r w:rsidRPr="00716E97">
          <w:rPr>
            <w:rFonts w:ascii="Times New Roman" w:hAnsi="Times New Roman" w:cs="Times New Roman"/>
          </w:rPr>
          <w:t>8 мм</w:t>
        </w:r>
      </w:smartTag>
      <w:r w:rsidRPr="00716E97">
        <w:rPr>
          <w:rFonts w:ascii="Times New Roman" w:hAnsi="Times New Roman" w:cs="Times New Roman"/>
        </w:rPr>
        <w:t xml:space="preserve"> ленты, подача </w:t>
      </w:r>
      <w:smartTag w:uri="urn:schemas-microsoft-com:office:smarttags" w:element="metricconverter">
        <w:smartTagPr>
          <w:attr w:name="ProductID" w:val="4 мм"/>
        </w:smartTagPr>
        <w:r w:rsidRPr="00716E97">
          <w:rPr>
            <w:rFonts w:ascii="Times New Roman" w:hAnsi="Times New Roman" w:cs="Times New Roman"/>
          </w:rPr>
          <w:t>4 мм</w:t>
        </w:r>
      </w:smartTag>
      <w:r w:rsidRPr="00716E97">
        <w:rPr>
          <w:rFonts w:ascii="Times New Roman" w:hAnsi="Times New Roman" w:cs="Times New Roman"/>
        </w:rPr>
        <w:t xml:space="preserve">, катушка </w:t>
      </w:r>
      <w:smartTag w:uri="urn:schemas-microsoft-com:office:smarttags" w:element="metricconverter">
        <w:smartTagPr>
          <w:attr w:name="ProductID" w:val="7”"/>
        </w:smartTagPr>
        <w:r w:rsidRPr="00716E97">
          <w:rPr>
            <w:rFonts w:ascii="Times New Roman" w:hAnsi="Times New Roman" w:cs="Times New Roman"/>
          </w:rPr>
          <w:t>7”</w:t>
        </w:r>
      </w:smartTag>
      <w:r w:rsidRPr="00716E97">
        <w:rPr>
          <w:rFonts w:ascii="Times New Roman" w:hAnsi="Times New Roman" w:cs="Times New Roman"/>
        </w:rPr>
        <w:t>, CLY, 36 шт., Планка универсальная (пустая), 2 шт., Плоттер HP DJ 430, Портативный компьютер E-ten M600, Пресс-форма 2-гнездовая для изделия «Корпус», Принтер Canon BJC-55A4 720 dpi струйный, Принтер HP LASER JET 1220, PRN/SCAN/COPY 1200 DPI, Принтер HP LASER JET M2727NF, МФУ (+сканер+копир), Принтер HP LJ 1320N, Принтер HP LJ 3015, Принтер HP LJ 3015 (А4, Printer+Copir+Scaner+Fax), Принтер HP LJ 3020 (A4, Printer+Copir+Scaner), Принтер HP LJ 3055 (A4, Printer+Copir+Scaner), 2 шт., Принтер HP LJ 3055 (A4, Printer+Copir+Scaner+Fax), Принтер HP LJ 5200CN, Принтер TLP 2742 PSE, Сервер HP ProLiant DL 140 G2 2.8 GHz Xeon 1GB, 80GB, Проигрыватель DVD DVP-S7700-SONY, Проходная, ПЭВМ HP dx2300MT E2200/160Gb/1Gb/DVDRW/MCR/kbd, 5 шт. ПЭВМ SONY VAIO VPCSE2X1R/B i5 2450M/4/640/DVD-RW, 2 шт., Регистратор 4 т, Рефлектометр оптический ANRITSU MT9083A-063, Сервер, Принтер Zebra Z105 SL, Сервер HP ProLiant DL140 Xeon 2.4/533-512, ATA80GB, Сервер Kraftway Express Lite EL13, 4 шт., Сервер Super-Micro, 2 шт., Сервер www, Сервер видеонаблюдения, Сервер локальной сети, 2 шт. Сист. блок Aquarius Pro (DDR 1024Mb/HDD 160 Gb), 2 шт. Сист. блок ATHLON 64/512Mb/160Gb/DVD+RW, Система видеоконференцсвязи TANDBERG E20SIP 116700, Система внешнего видеонаблюдения Б. Бульварная, 13-26, Система кондиционирования BALLU BSV, 4 шт. Система контроля доступа (эл. проходная) Б. Бульв., 13-26, системный блок ATHLON 64/512Mb/160Gb/DVD+RW, 2 шт. Системный блок HP-D, Системный блок INTEL P4 (1Gb/250Gb/DVD-RW ATX), Слаботочная сеть Таганрог, ул. Октябрьская, 21, Сплит-система Acson AWM020GR/ALC20CR, 2 шт. Сплит-система Acson AWM025G/ALC025C, 4 шт., Сплит-система Acson AWM15G/ALC15C, 2 шт., Сплит-система McQuayMWM15GR/MLC15CR, Станция паяльная DIG20А-Tech 10 шт., Стапель, Стеллаж металлический 300*3000*2800/350, Стеллаж металлический 600*4500*2800/350, 2 шт., Стол для переговоров 270 CANNES/PERTH, Структур. кабельная сеть 2 этаж АБК Б. Бульварная, 13-26, Счетчик электронный 3ф НЕВА 303 5-100 1SO Б. Бульв. 13-26, Телеком-сервер/Aquarius Server TS301, Терминал видео конференц-связи Tanberg E20 SIP Vio, Угол Фантазия кат. 1, Узел учета электроэнергии (произ. корпус 63), Узел учета расхода газа АБК Б. Бульварная, 13, Установка пленкозапаечная, Цифровой КМА Ricoh Aficio 2022 (А3, 22 копий/мин.), Эл. бетоносмеситель СБР-170А (220В), Шкаф сухого хранения SD-1106-02, Шкаф сушильный ШСП-0, 5-200 с вентиляц. патрубком, Шкаф. газорегуляторн. пунктГРПШ-05-2У1 с регулят. давл., Штабелер Pfaff Silberblau HV 1016, Штамп для изделия «Планка» 1717-6667, Штамп для изделия «Прокладка» 1717-6666, Шумомер ВШВ-003-М2, Эмулятор ADZS-USB-ICE, Электронная проходная, Электростанция ESE 606 DHS-GT бензинов, Шкаф для тестового оборудования.</w:t>
      </w:r>
    </w:p>
    <w:p w:rsidR="0069757E" w:rsidRPr="00716E97" w:rsidRDefault="0069757E" w:rsidP="00A70359">
      <w:pPr>
        <w:ind w:firstLine="709"/>
        <w:jc w:val="both"/>
        <w:rPr>
          <w:rFonts w:ascii="Times New Roman" w:hAnsi="Times New Roman" w:cs="Times New Roman"/>
        </w:rPr>
      </w:pPr>
      <w:r w:rsidRPr="00716E97">
        <w:rPr>
          <w:rFonts w:ascii="Times New Roman" w:hAnsi="Times New Roman" w:cs="Times New Roman"/>
        </w:rPr>
        <w:t xml:space="preserve">Начальная цена лота №5 - 8 671 545 руб. </w:t>
      </w:r>
    </w:p>
    <w:p w:rsidR="0069757E" w:rsidRPr="00716E97" w:rsidRDefault="0069757E" w:rsidP="00480C57">
      <w:pPr>
        <w:ind w:firstLine="737"/>
        <w:jc w:val="both"/>
        <w:rPr>
          <w:rFonts w:ascii="Times New Roman" w:hAnsi="Times New Roman" w:cs="Times New Roman"/>
        </w:rPr>
      </w:pPr>
      <w:r w:rsidRPr="00716E97">
        <w:rPr>
          <w:rStyle w:val="190"/>
          <w:b w:val="0"/>
          <w:sz w:val="24"/>
          <w:szCs w:val="24"/>
        </w:rPr>
        <w:t>2.2. Задаток должен поступить на расчетный счет Общества в сроки приема заявок</w:t>
      </w:r>
      <w:r w:rsidRPr="00716E97">
        <w:rPr>
          <w:rFonts w:ascii="Times New Roman" w:hAnsi="Times New Roman" w:cs="Times New Roman"/>
        </w:rPr>
        <w:t xml:space="preserve"> до момента определения участников торгов. </w:t>
      </w:r>
    </w:p>
    <w:p w:rsidR="0069757E" w:rsidRPr="00716E97" w:rsidRDefault="0069757E" w:rsidP="00DA65BD">
      <w:pPr>
        <w:autoSpaceDE w:val="0"/>
        <w:autoSpaceDN w:val="0"/>
        <w:adjustRightInd w:val="0"/>
        <w:ind w:firstLine="720"/>
        <w:jc w:val="both"/>
        <w:rPr>
          <w:rFonts w:ascii="Times New Roman" w:hAnsi="Times New Roman" w:cs="Times New Roman"/>
        </w:rPr>
      </w:pPr>
      <w:r w:rsidRPr="00716E97">
        <w:rPr>
          <w:rStyle w:val="190"/>
          <w:b w:val="0"/>
          <w:sz w:val="24"/>
          <w:szCs w:val="24"/>
        </w:rPr>
        <w:t>2.3.В случае признания Претендента покупателем, задаток засчитывается в счет оплаты приобретенного имущества.</w:t>
      </w:r>
    </w:p>
    <w:p w:rsidR="0069757E" w:rsidRPr="00716E97" w:rsidRDefault="0069757E" w:rsidP="00DA65BD">
      <w:pPr>
        <w:pStyle w:val="191"/>
        <w:shd w:val="clear" w:color="auto" w:fill="auto"/>
        <w:spacing w:line="240" w:lineRule="auto"/>
        <w:ind w:firstLine="720"/>
        <w:jc w:val="center"/>
        <w:rPr>
          <w:rStyle w:val="192"/>
          <w:bCs/>
          <w:sz w:val="24"/>
          <w:szCs w:val="24"/>
        </w:rPr>
      </w:pPr>
      <w:r w:rsidRPr="00716E97">
        <w:rPr>
          <w:rStyle w:val="192"/>
          <w:bCs/>
          <w:sz w:val="24"/>
          <w:szCs w:val="24"/>
        </w:rPr>
        <w:t>3. ПРАВА И ОБЯЗАННОСТИ СТОРОН</w:t>
      </w:r>
    </w:p>
    <w:p w:rsidR="0069757E" w:rsidRPr="00716E97" w:rsidRDefault="0069757E" w:rsidP="00DA65BD">
      <w:pPr>
        <w:pStyle w:val="191"/>
        <w:shd w:val="clear" w:color="auto" w:fill="auto"/>
        <w:spacing w:line="240" w:lineRule="auto"/>
        <w:ind w:firstLine="720"/>
        <w:jc w:val="both"/>
        <w:rPr>
          <w:b w:val="0"/>
          <w:sz w:val="24"/>
          <w:szCs w:val="24"/>
        </w:rPr>
      </w:pPr>
      <w:r w:rsidRPr="00716E97">
        <w:rPr>
          <w:rStyle w:val="190"/>
          <w:sz w:val="24"/>
          <w:szCs w:val="24"/>
        </w:rPr>
        <w:t>3.1 Общество и Претендент обладают правами и обязанностями в соответствии с действующим законодательством РФ.</w:t>
      </w:r>
    </w:p>
    <w:p w:rsidR="0069757E" w:rsidRPr="00716E97" w:rsidRDefault="0069757E" w:rsidP="00DA65BD">
      <w:pPr>
        <w:pStyle w:val="110"/>
        <w:shd w:val="clear" w:color="auto" w:fill="auto"/>
        <w:spacing w:line="240" w:lineRule="auto"/>
        <w:ind w:firstLine="720"/>
        <w:jc w:val="center"/>
        <w:rPr>
          <w:rStyle w:val="111"/>
          <w:b w:val="0"/>
          <w:sz w:val="24"/>
          <w:szCs w:val="24"/>
        </w:rPr>
      </w:pPr>
      <w:r w:rsidRPr="00716E97">
        <w:rPr>
          <w:rStyle w:val="111"/>
          <w:b w:val="0"/>
          <w:sz w:val="24"/>
          <w:szCs w:val="24"/>
        </w:rPr>
        <w:t>4. ОСОБЫЕ УСЛОВИЯ ДОГОВОРА</w:t>
      </w:r>
    </w:p>
    <w:p w:rsidR="0069757E" w:rsidRPr="00716E97" w:rsidRDefault="0069757E" w:rsidP="00DA65BD">
      <w:pPr>
        <w:ind w:firstLine="720"/>
        <w:jc w:val="both"/>
        <w:rPr>
          <w:rFonts w:ascii="Times New Roman" w:hAnsi="Times New Roman" w:cs="Times New Roman"/>
        </w:rPr>
      </w:pPr>
      <w:r w:rsidRPr="00716E97">
        <w:rPr>
          <w:rStyle w:val="190"/>
          <w:b w:val="0"/>
          <w:sz w:val="24"/>
          <w:szCs w:val="24"/>
        </w:rPr>
        <w:t>4.1.</w:t>
      </w:r>
      <w:r w:rsidRPr="00716E97">
        <w:rPr>
          <w:rFonts w:ascii="Times New Roman" w:hAnsi="Times New Roman" w:cs="Times New Roman"/>
          <w:bCs/>
        </w:rPr>
        <w:t xml:space="preserve"> </w:t>
      </w:r>
      <w:r w:rsidRPr="00716E97">
        <w:rPr>
          <w:rFonts w:ascii="Times New Roman" w:hAnsi="Times New Roman" w:cs="Times New Roman"/>
        </w:rPr>
        <w:t>Общество возвращает задаток в течение 5 (пяти) рабочих дней со дня подписания Протокола об итогах торгов в случаях:</w:t>
      </w:r>
    </w:p>
    <w:p w:rsidR="0069757E" w:rsidRPr="00716E97" w:rsidRDefault="0069757E" w:rsidP="00DA65BD">
      <w:pPr>
        <w:numPr>
          <w:ilvl w:val="0"/>
          <w:numId w:val="4"/>
        </w:numPr>
        <w:tabs>
          <w:tab w:val="clear" w:pos="720"/>
          <w:tab w:val="left" w:pos="960"/>
        </w:tabs>
        <w:ind w:left="0" w:firstLine="720"/>
        <w:jc w:val="both"/>
        <w:rPr>
          <w:rFonts w:ascii="Times New Roman" w:hAnsi="Times New Roman" w:cs="Times New Roman"/>
        </w:rPr>
      </w:pPr>
      <w:r w:rsidRPr="00716E97">
        <w:rPr>
          <w:rFonts w:ascii="Times New Roman" w:hAnsi="Times New Roman" w:cs="Times New Roman"/>
        </w:rPr>
        <w:t>Претендент не допущен к участию в торгах;</w:t>
      </w:r>
    </w:p>
    <w:p w:rsidR="0069757E" w:rsidRPr="00716E97" w:rsidRDefault="0069757E" w:rsidP="00DA65BD">
      <w:pPr>
        <w:numPr>
          <w:ilvl w:val="0"/>
          <w:numId w:val="4"/>
        </w:numPr>
        <w:tabs>
          <w:tab w:val="clear" w:pos="720"/>
          <w:tab w:val="left" w:pos="960"/>
        </w:tabs>
        <w:ind w:left="0" w:firstLine="720"/>
        <w:jc w:val="both"/>
        <w:rPr>
          <w:rFonts w:ascii="Times New Roman" w:hAnsi="Times New Roman" w:cs="Times New Roman"/>
        </w:rPr>
      </w:pPr>
      <w:r w:rsidRPr="00716E97">
        <w:rPr>
          <w:rFonts w:ascii="Times New Roman" w:hAnsi="Times New Roman" w:cs="Times New Roman"/>
        </w:rPr>
        <w:t>Претендент участвовал в торгах, но не выиграл их;</w:t>
      </w:r>
    </w:p>
    <w:p w:rsidR="0069757E" w:rsidRPr="00716E97" w:rsidRDefault="0069757E" w:rsidP="00DA65BD">
      <w:pPr>
        <w:numPr>
          <w:ilvl w:val="0"/>
          <w:numId w:val="4"/>
        </w:numPr>
        <w:tabs>
          <w:tab w:val="clear" w:pos="720"/>
          <w:tab w:val="left" w:pos="960"/>
        </w:tabs>
        <w:ind w:left="0" w:firstLine="720"/>
        <w:jc w:val="both"/>
        <w:rPr>
          <w:rFonts w:ascii="Times New Roman" w:hAnsi="Times New Roman" w:cs="Times New Roman"/>
        </w:rPr>
      </w:pPr>
      <w:r w:rsidRPr="00716E97">
        <w:rPr>
          <w:rFonts w:ascii="Times New Roman" w:hAnsi="Times New Roman" w:cs="Times New Roman"/>
        </w:rPr>
        <w:t>Претендент отозвал свою заявку на участие в торгах до момента окончания срока приема заявок на участие в торгах.</w:t>
      </w:r>
    </w:p>
    <w:p w:rsidR="0069757E" w:rsidRPr="00716E97" w:rsidRDefault="0069757E" w:rsidP="00DA65BD">
      <w:pPr>
        <w:ind w:firstLine="720"/>
        <w:jc w:val="both"/>
        <w:rPr>
          <w:rFonts w:ascii="Times New Roman" w:hAnsi="Times New Roman" w:cs="Times New Roman"/>
        </w:rPr>
      </w:pPr>
      <w:r w:rsidRPr="00716E97">
        <w:rPr>
          <w:rFonts w:ascii="Times New Roman" w:hAnsi="Times New Roman" w:cs="Times New Roman"/>
          <w:bCs/>
        </w:rPr>
        <w:t xml:space="preserve">4.2. </w:t>
      </w:r>
      <w:r w:rsidRPr="00716E97">
        <w:rPr>
          <w:rFonts w:ascii="Times New Roman" w:hAnsi="Times New Roman" w:cs="Times New Roman"/>
        </w:rPr>
        <w:t>В случае отмены торгов Общество возвращает задаток Претенденту в течение 5 (пяти) рабочих дней со дня вынесения Организатором торгов Решения об отмене торгов.</w:t>
      </w:r>
    </w:p>
    <w:p w:rsidR="0069757E" w:rsidRPr="00716E97" w:rsidRDefault="0069757E" w:rsidP="00DA65BD">
      <w:pPr>
        <w:ind w:firstLine="720"/>
        <w:jc w:val="both"/>
        <w:rPr>
          <w:rFonts w:ascii="Times New Roman" w:hAnsi="Times New Roman" w:cs="Times New Roman"/>
        </w:rPr>
      </w:pPr>
      <w:r w:rsidRPr="00716E97">
        <w:rPr>
          <w:rFonts w:ascii="Times New Roman" w:hAnsi="Times New Roman" w:cs="Times New Roman"/>
          <w:bCs/>
        </w:rPr>
        <w:t xml:space="preserve">4.3. </w:t>
      </w:r>
      <w:r w:rsidRPr="00716E97">
        <w:rPr>
          <w:rFonts w:ascii="Times New Roman" w:hAnsi="Times New Roman" w:cs="Times New Roman"/>
        </w:rPr>
        <w:t>Общество не возвращает задаток Претенденту в случаях:</w:t>
      </w:r>
    </w:p>
    <w:p w:rsidR="0069757E" w:rsidRPr="00716E97" w:rsidRDefault="0069757E" w:rsidP="00DA65BD">
      <w:pPr>
        <w:numPr>
          <w:ilvl w:val="0"/>
          <w:numId w:val="5"/>
        </w:numPr>
        <w:tabs>
          <w:tab w:val="clear" w:pos="720"/>
          <w:tab w:val="left" w:pos="960"/>
        </w:tabs>
        <w:ind w:left="0" w:firstLine="720"/>
        <w:jc w:val="both"/>
        <w:rPr>
          <w:rFonts w:ascii="Times New Roman" w:hAnsi="Times New Roman" w:cs="Times New Roman"/>
        </w:rPr>
      </w:pPr>
      <w:r w:rsidRPr="00716E97">
        <w:rPr>
          <w:rFonts w:ascii="Times New Roman" w:hAnsi="Times New Roman" w:cs="Times New Roman"/>
        </w:rPr>
        <w:t>уклонения Претендента, признанного победителем торгов, от подписания Договора купли-продажи предмета торгов в установленный срок;</w:t>
      </w:r>
    </w:p>
    <w:p w:rsidR="0069757E" w:rsidRPr="00716E97" w:rsidRDefault="0069757E" w:rsidP="00DA65BD">
      <w:pPr>
        <w:numPr>
          <w:ilvl w:val="0"/>
          <w:numId w:val="5"/>
        </w:numPr>
        <w:tabs>
          <w:tab w:val="clear" w:pos="720"/>
          <w:tab w:val="left" w:pos="960"/>
        </w:tabs>
        <w:ind w:left="0" w:firstLine="720"/>
        <w:jc w:val="both"/>
        <w:rPr>
          <w:rFonts w:ascii="Times New Roman" w:hAnsi="Times New Roman" w:cs="Times New Roman"/>
        </w:rPr>
      </w:pPr>
      <w:r w:rsidRPr="00716E97">
        <w:rPr>
          <w:rFonts w:ascii="Times New Roman" w:hAnsi="Times New Roman" w:cs="Times New Roman"/>
        </w:rPr>
        <w:t>уклонения Претендента, признанного победителем торгов, от полной оплаты предмета торгов, в соответствии с Протоколом об итогах торгов и Договором купли-продажи предмета торгов.</w:t>
      </w:r>
    </w:p>
    <w:p w:rsidR="0069757E" w:rsidRPr="00716E97" w:rsidRDefault="0069757E" w:rsidP="00DA65BD">
      <w:pPr>
        <w:pStyle w:val="110"/>
        <w:shd w:val="clear" w:color="auto" w:fill="auto"/>
        <w:spacing w:line="240" w:lineRule="auto"/>
        <w:ind w:firstLine="720"/>
        <w:jc w:val="center"/>
        <w:rPr>
          <w:sz w:val="24"/>
          <w:szCs w:val="24"/>
        </w:rPr>
      </w:pPr>
      <w:r w:rsidRPr="00716E97">
        <w:rPr>
          <w:rStyle w:val="111"/>
          <w:b w:val="0"/>
          <w:sz w:val="24"/>
          <w:szCs w:val="24"/>
        </w:rPr>
        <w:t>5. ЗАКЛЮЧИТЕЛЬНЫЕ ПОЛОЖЕНИЯ</w:t>
      </w:r>
    </w:p>
    <w:p w:rsidR="0069757E" w:rsidRPr="00716E97" w:rsidRDefault="0069757E" w:rsidP="00DA65BD">
      <w:pPr>
        <w:pStyle w:val="191"/>
        <w:numPr>
          <w:ilvl w:val="0"/>
          <w:numId w:val="3"/>
        </w:numPr>
        <w:shd w:val="clear" w:color="auto" w:fill="auto"/>
        <w:tabs>
          <w:tab w:val="left" w:pos="692"/>
        </w:tabs>
        <w:spacing w:line="240" w:lineRule="auto"/>
        <w:ind w:firstLine="720"/>
        <w:jc w:val="both"/>
        <w:rPr>
          <w:rStyle w:val="190"/>
          <w:bCs/>
          <w:sz w:val="24"/>
          <w:szCs w:val="24"/>
        </w:rPr>
      </w:pPr>
      <w:r w:rsidRPr="00716E97">
        <w:rPr>
          <w:rStyle w:val="190"/>
          <w:sz w:val="24"/>
          <w:szCs w:val="24"/>
        </w:rPr>
        <w:t>Данный Договор заключен в порядке, предусмотренном статьей 428 Гражданского кодекса Российской Федерации.</w:t>
      </w:r>
    </w:p>
    <w:p w:rsidR="0069757E" w:rsidRPr="00716E97" w:rsidRDefault="0069757E" w:rsidP="00DA65BD">
      <w:pPr>
        <w:pStyle w:val="191"/>
        <w:numPr>
          <w:ilvl w:val="0"/>
          <w:numId w:val="3"/>
        </w:numPr>
        <w:shd w:val="clear" w:color="auto" w:fill="auto"/>
        <w:tabs>
          <w:tab w:val="left" w:pos="692"/>
        </w:tabs>
        <w:spacing w:line="240" w:lineRule="auto"/>
        <w:ind w:firstLine="720"/>
        <w:jc w:val="both"/>
        <w:rPr>
          <w:b w:val="0"/>
          <w:sz w:val="24"/>
          <w:szCs w:val="24"/>
        </w:rPr>
      </w:pPr>
      <w:r w:rsidRPr="00716E97">
        <w:rPr>
          <w:rStyle w:val="190"/>
          <w:sz w:val="24"/>
          <w:szCs w:val="24"/>
        </w:rPr>
        <w:t>Все споры и разногласия, которые могут возникнуть из настоящего договора, разрешаются путем переговоров, а при невозможности разрешения споров путем переговоров стороны передают их на рассмотрение в суд или арбитражный суд.</w:t>
      </w:r>
    </w:p>
    <w:p w:rsidR="0069757E" w:rsidRPr="00716E97" w:rsidRDefault="0069757E" w:rsidP="00DA65BD">
      <w:pPr>
        <w:pStyle w:val="191"/>
        <w:numPr>
          <w:ilvl w:val="0"/>
          <w:numId w:val="3"/>
        </w:numPr>
        <w:shd w:val="clear" w:color="auto" w:fill="auto"/>
        <w:tabs>
          <w:tab w:val="left" w:pos="370"/>
        </w:tabs>
        <w:spacing w:line="240" w:lineRule="auto"/>
        <w:ind w:firstLine="720"/>
        <w:jc w:val="both"/>
        <w:rPr>
          <w:b w:val="0"/>
          <w:sz w:val="24"/>
          <w:szCs w:val="24"/>
        </w:rPr>
      </w:pPr>
      <w:r w:rsidRPr="00716E97">
        <w:rPr>
          <w:rStyle w:val="190"/>
          <w:sz w:val="24"/>
          <w:szCs w:val="24"/>
        </w:rPr>
        <w:t>Договор вступает в силу с момента подписания.</w:t>
      </w:r>
    </w:p>
    <w:p w:rsidR="0069757E" w:rsidRPr="00716E97" w:rsidRDefault="0069757E" w:rsidP="00DA65BD">
      <w:pPr>
        <w:pStyle w:val="191"/>
        <w:numPr>
          <w:ilvl w:val="0"/>
          <w:numId w:val="3"/>
        </w:numPr>
        <w:shd w:val="clear" w:color="auto" w:fill="auto"/>
        <w:tabs>
          <w:tab w:val="left" w:pos="366"/>
        </w:tabs>
        <w:spacing w:line="240" w:lineRule="auto"/>
        <w:ind w:firstLine="720"/>
        <w:jc w:val="both"/>
        <w:rPr>
          <w:b w:val="0"/>
          <w:sz w:val="24"/>
          <w:szCs w:val="24"/>
        </w:rPr>
      </w:pPr>
      <w:r w:rsidRPr="00716E97">
        <w:rPr>
          <w:rStyle w:val="190"/>
          <w:sz w:val="24"/>
          <w:szCs w:val="24"/>
        </w:rPr>
        <w:t>Настоящий Договор составлен в 2-х (двух) экземплярах, имеющих одинаковую юридическую силу.</w:t>
      </w:r>
    </w:p>
    <w:p w:rsidR="0069757E" w:rsidRPr="00716E97" w:rsidRDefault="0069757E" w:rsidP="00DA65BD">
      <w:pPr>
        <w:pStyle w:val="191"/>
        <w:shd w:val="clear" w:color="auto" w:fill="auto"/>
        <w:spacing w:line="240" w:lineRule="auto"/>
        <w:ind w:firstLine="720"/>
        <w:jc w:val="center"/>
        <w:rPr>
          <w:rStyle w:val="111"/>
          <w:sz w:val="24"/>
          <w:szCs w:val="24"/>
        </w:rPr>
      </w:pPr>
      <w:r w:rsidRPr="00716E97">
        <w:rPr>
          <w:rStyle w:val="111"/>
          <w:sz w:val="24"/>
          <w:szCs w:val="24"/>
        </w:rPr>
        <w:t>6. ЮРИДИЧЕСКИЕ АДРЕСА И ПОДПИСИ СТОРОН:</w:t>
      </w:r>
    </w:p>
    <w:p w:rsidR="0069757E" w:rsidRPr="00716E97" w:rsidRDefault="0069757E" w:rsidP="00DA65BD">
      <w:pPr>
        <w:pStyle w:val="191"/>
        <w:shd w:val="clear" w:color="auto" w:fill="auto"/>
        <w:spacing w:line="240" w:lineRule="auto"/>
        <w:ind w:firstLine="720"/>
        <w:jc w:val="both"/>
        <w:rPr>
          <w:b w:val="0"/>
          <w:sz w:val="24"/>
          <w:szCs w:val="24"/>
        </w:rPr>
      </w:pPr>
      <w:r w:rsidRPr="00716E97">
        <w:rPr>
          <w:b w:val="0"/>
          <w:sz w:val="24"/>
          <w:szCs w:val="24"/>
        </w:rPr>
        <w:t>Претендент</w:t>
      </w:r>
    </w:p>
    <w:p w:rsidR="0069757E" w:rsidRPr="00716E97" w:rsidRDefault="0069757E" w:rsidP="00DA65BD">
      <w:pPr>
        <w:pStyle w:val="191"/>
        <w:shd w:val="clear" w:color="auto" w:fill="auto"/>
        <w:spacing w:line="240" w:lineRule="auto"/>
        <w:ind w:firstLine="720"/>
        <w:jc w:val="both"/>
        <w:rPr>
          <w:b w:val="0"/>
          <w:sz w:val="24"/>
          <w:szCs w:val="24"/>
        </w:rPr>
      </w:pPr>
      <w:r w:rsidRPr="00716E97">
        <w:rPr>
          <w:b w:val="0"/>
          <w:sz w:val="24"/>
          <w:szCs w:val="24"/>
        </w:rPr>
        <w:t>_____________________</w:t>
      </w:r>
    </w:p>
    <w:p w:rsidR="0069757E" w:rsidRPr="00716E97" w:rsidRDefault="0069757E" w:rsidP="00DA65BD">
      <w:pPr>
        <w:pStyle w:val="191"/>
        <w:shd w:val="clear" w:color="auto" w:fill="auto"/>
        <w:spacing w:line="240" w:lineRule="auto"/>
        <w:ind w:firstLine="720"/>
        <w:jc w:val="both"/>
        <w:rPr>
          <w:b w:val="0"/>
          <w:sz w:val="24"/>
          <w:szCs w:val="24"/>
        </w:rPr>
      </w:pPr>
      <w:r w:rsidRPr="00716E97">
        <w:rPr>
          <w:b w:val="0"/>
          <w:sz w:val="24"/>
          <w:szCs w:val="24"/>
        </w:rPr>
        <w:t>Общество:</w:t>
      </w:r>
    </w:p>
    <w:p w:rsidR="0069757E" w:rsidRPr="00716E97" w:rsidRDefault="0069757E" w:rsidP="00DA65BD">
      <w:pPr>
        <w:pStyle w:val="191"/>
        <w:shd w:val="clear" w:color="auto" w:fill="auto"/>
        <w:spacing w:line="240" w:lineRule="auto"/>
        <w:ind w:firstLine="720"/>
        <w:jc w:val="both"/>
        <w:rPr>
          <w:b w:val="0"/>
          <w:sz w:val="24"/>
          <w:szCs w:val="24"/>
        </w:rPr>
      </w:pPr>
      <w:r w:rsidRPr="00716E97">
        <w:rPr>
          <w:b w:val="0"/>
          <w:sz w:val="24"/>
          <w:szCs w:val="24"/>
        </w:rPr>
        <w:t>ООО НПП «СпецСтрой-Связь» (ИНН 6154064140, ОГРН 1096163000450, Ростовская область, г. Таганрог, ул. Большая Бульварная, 13-26), р/с 40702810700375002653 в Ростовском филиале ПАО АКБ «Связь-Банк», к/с 30101810600000000259, БИК 046015259</w:t>
      </w:r>
    </w:p>
    <w:p w:rsidR="0069757E" w:rsidRPr="00716E97" w:rsidRDefault="0069757E" w:rsidP="00DA65BD">
      <w:pPr>
        <w:pStyle w:val="191"/>
        <w:shd w:val="clear" w:color="auto" w:fill="auto"/>
        <w:spacing w:line="240" w:lineRule="auto"/>
        <w:ind w:firstLine="720"/>
        <w:jc w:val="both"/>
        <w:rPr>
          <w:b w:val="0"/>
          <w:sz w:val="24"/>
          <w:szCs w:val="24"/>
        </w:rPr>
      </w:pPr>
    </w:p>
    <w:p w:rsidR="0069757E" w:rsidRPr="00716E97" w:rsidRDefault="0069757E" w:rsidP="00DA65BD">
      <w:pPr>
        <w:pStyle w:val="191"/>
        <w:shd w:val="clear" w:color="auto" w:fill="auto"/>
        <w:spacing w:line="240" w:lineRule="auto"/>
        <w:ind w:firstLine="720"/>
        <w:jc w:val="both"/>
        <w:rPr>
          <w:b w:val="0"/>
          <w:sz w:val="24"/>
          <w:szCs w:val="24"/>
        </w:rPr>
      </w:pPr>
      <w:r w:rsidRPr="00716E97">
        <w:rPr>
          <w:b w:val="0"/>
          <w:sz w:val="24"/>
          <w:szCs w:val="24"/>
        </w:rPr>
        <w:t>Конкурсный управляющий: ________________ /Н.С. Ушанов /</w:t>
      </w:r>
    </w:p>
    <w:p w:rsidR="0069757E" w:rsidRPr="00716E97" w:rsidRDefault="0069757E" w:rsidP="00DA65BD">
      <w:pPr>
        <w:pStyle w:val="191"/>
        <w:shd w:val="clear" w:color="auto" w:fill="auto"/>
        <w:spacing w:line="240" w:lineRule="auto"/>
        <w:ind w:firstLine="720"/>
        <w:jc w:val="both"/>
        <w:rPr>
          <w:b w:val="0"/>
          <w:sz w:val="24"/>
          <w:szCs w:val="24"/>
        </w:rPr>
      </w:pPr>
      <w:r w:rsidRPr="00716E97">
        <w:rPr>
          <w:b w:val="0"/>
          <w:sz w:val="24"/>
          <w:szCs w:val="24"/>
        </w:rPr>
        <w:tab/>
      </w:r>
      <w:r w:rsidRPr="00716E97">
        <w:rPr>
          <w:b w:val="0"/>
          <w:sz w:val="24"/>
          <w:szCs w:val="24"/>
        </w:rPr>
        <w:tab/>
      </w:r>
      <w:r w:rsidRPr="00716E97">
        <w:rPr>
          <w:b w:val="0"/>
          <w:sz w:val="24"/>
          <w:szCs w:val="24"/>
        </w:rPr>
        <w:tab/>
      </w:r>
      <w:r w:rsidRPr="00716E97">
        <w:rPr>
          <w:b w:val="0"/>
          <w:sz w:val="24"/>
          <w:szCs w:val="24"/>
        </w:rPr>
        <w:tab/>
        <w:t>М.п.</w:t>
      </w:r>
    </w:p>
    <w:p w:rsidR="0069757E" w:rsidRPr="00716E97" w:rsidRDefault="0069757E" w:rsidP="00DA65BD">
      <w:pPr>
        <w:pStyle w:val="191"/>
        <w:shd w:val="clear" w:color="auto" w:fill="auto"/>
        <w:spacing w:line="240" w:lineRule="auto"/>
        <w:ind w:firstLine="720"/>
        <w:jc w:val="both"/>
        <w:rPr>
          <w:b w:val="0"/>
          <w:sz w:val="24"/>
          <w:szCs w:val="24"/>
        </w:rPr>
      </w:pPr>
    </w:p>
    <w:p w:rsidR="0069757E" w:rsidRPr="00716E97" w:rsidRDefault="0069757E" w:rsidP="00DA65BD">
      <w:pPr>
        <w:pStyle w:val="191"/>
        <w:shd w:val="clear" w:color="auto" w:fill="auto"/>
        <w:spacing w:line="240" w:lineRule="auto"/>
        <w:ind w:firstLine="720"/>
        <w:jc w:val="both"/>
        <w:rPr>
          <w:b w:val="0"/>
          <w:sz w:val="24"/>
          <w:szCs w:val="24"/>
        </w:rPr>
      </w:pPr>
      <w:r w:rsidRPr="00716E97">
        <w:rPr>
          <w:b w:val="0"/>
          <w:sz w:val="24"/>
          <w:szCs w:val="24"/>
        </w:rPr>
        <w:t>Претендент: ____________________/</w:t>
      </w:r>
    </w:p>
    <w:sectPr w:rsidR="0069757E" w:rsidRPr="00716E97" w:rsidSect="000F2E22">
      <w:type w:val="continuous"/>
      <w:pgSz w:w="11905" w:h="16837"/>
      <w:pgMar w:top="1134" w:right="850"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5B51796"/>
    <w:multiLevelType w:val="multilevel"/>
    <w:tmpl w:val="26E0DDA8"/>
    <w:lvl w:ilvl="0">
      <w:start w:val="4"/>
      <w:numFmt w:val="decimal"/>
      <w:lvlText w:val="%1."/>
      <w:lvlJc w:val="left"/>
      <w:pPr>
        <w:tabs>
          <w:tab w:val="num" w:pos="420"/>
        </w:tabs>
        <w:ind w:left="420" w:hanging="420"/>
      </w:pPr>
      <w:rPr>
        <w:rFonts w:ascii="Tahoma" w:hAnsi="Tahoma" w:cs="Tahoma" w:hint="default"/>
      </w:rPr>
    </w:lvl>
    <w:lvl w:ilvl="1">
      <w:start w:val="4"/>
      <w:numFmt w:val="decimal"/>
      <w:lvlText w:val="%1.%2."/>
      <w:lvlJc w:val="left"/>
      <w:pPr>
        <w:tabs>
          <w:tab w:val="num" w:pos="420"/>
        </w:tabs>
        <w:ind w:left="420" w:hanging="420"/>
      </w:pPr>
      <w:rPr>
        <w:rFonts w:ascii="Tahoma" w:hAnsi="Tahoma" w:cs="Tahoma" w:hint="default"/>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720"/>
        </w:tabs>
        <w:ind w:left="720" w:hanging="720"/>
      </w:pPr>
      <w:rPr>
        <w:rFonts w:ascii="Tahoma" w:hAnsi="Tahoma" w:cs="Tahoma" w:hint="default"/>
      </w:rPr>
    </w:lvl>
    <w:lvl w:ilvl="4">
      <w:start w:val="1"/>
      <w:numFmt w:val="decimal"/>
      <w:lvlText w:val="%1.%2.%3.%4.%5."/>
      <w:lvlJc w:val="left"/>
      <w:pPr>
        <w:tabs>
          <w:tab w:val="num" w:pos="1080"/>
        </w:tabs>
        <w:ind w:left="1080" w:hanging="1080"/>
      </w:pPr>
      <w:rPr>
        <w:rFonts w:ascii="Tahoma" w:hAnsi="Tahoma" w:cs="Tahoma" w:hint="default"/>
      </w:rPr>
    </w:lvl>
    <w:lvl w:ilvl="5">
      <w:start w:val="1"/>
      <w:numFmt w:val="decimal"/>
      <w:lvlText w:val="%1.%2.%3.%4.%5.%6."/>
      <w:lvlJc w:val="left"/>
      <w:pPr>
        <w:tabs>
          <w:tab w:val="num" w:pos="1080"/>
        </w:tabs>
        <w:ind w:left="1080" w:hanging="1080"/>
      </w:pPr>
      <w:rPr>
        <w:rFonts w:ascii="Tahoma" w:hAnsi="Tahoma" w:cs="Tahoma" w:hint="default"/>
      </w:rPr>
    </w:lvl>
    <w:lvl w:ilvl="6">
      <w:start w:val="1"/>
      <w:numFmt w:val="decimal"/>
      <w:lvlText w:val="%1.%2.%3.%4.%5.%6.%7."/>
      <w:lvlJc w:val="left"/>
      <w:pPr>
        <w:tabs>
          <w:tab w:val="num" w:pos="1440"/>
        </w:tabs>
        <w:ind w:left="1440" w:hanging="1440"/>
      </w:pPr>
      <w:rPr>
        <w:rFonts w:ascii="Tahoma" w:hAnsi="Tahoma" w:cs="Tahoma" w:hint="default"/>
      </w:rPr>
    </w:lvl>
    <w:lvl w:ilvl="7">
      <w:start w:val="1"/>
      <w:numFmt w:val="decimal"/>
      <w:lvlText w:val="%1.%2.%3.%4.%5.%6.%7.%8."/>
      <w:lvlJc w:val="left"/>
      <w:pPr>
        <w:tabs>
          <w:tab w:val="num" w:pos="1440"/>
        </w:tabs>
        <w:ind w:left="1440" w:hanging="1440"/>
      </w:pPr>
      <w:rPr>
        <w:rFonts w:ascii="Tahoma" w:hAnsi="Tahoma" w:cs="Tahoma" w:hint="default"/>
      </w:rPr>
    </w:lvl>
    <w:lvl w:ilvl="8">
      <w:start w:val="1"/>
      <w:numFmt w:val="decimal"/>
      <w:lvlText w:val="%1.%2.%3.%4.%5.%6.%7.%8.%9."/>
      <w:lvlJc w:val="left"/>
      <w:pPr>
        <w:tabs>
          <w:tab w:val="num" w:pos="1800"/>
        </w:tabs>
        <w:ind w:left="1800" w:hanging="1800"/>
      </w:pPr>
      <w:rPr>
        <w:rFonts w:ascii="Tahoma" w:hAnsi="Tahoma" w:cs="Tahoma" w:hint="default"/>
      </w:rPr>
    </w:lvl>
  </w:abstractNum>
  <w:abstractNum w:abstractNumId="4">
    <w:nsid w:val="296553E5"/>
    <w:multiLevelType w:val="multilevel"/>
    <w:tmpl w:val="D29AD3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2B97360"/>
    <w:multiLevelType w:val="multilevel"/>
    <w:tmpl w:val="11CE7392"/>
    <w:lvl w:ilvl="0">
      <w:start w:val="4"/>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6EC0179E"/>
    <w:multiLevelType w:val="multilevel"/>
    <w:tmpl w:val="8A4AA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5FE"/>
    <w:rsid w:val="00002D15"/>
    <w:rsid w:val="00031C5B"/>
    <w:rsid w:val="000348F2"/>
    <w:rsid w:val="00040D0A"/>
    <w:rsid w:val="00041995"/>
    <w:rsid w:val="00045176"/>
    <w:rsid w:val="0006651F"/>
    <w:rsid w:val="00077B12"/>
    <w:rsid w:val="0008388E"/>
    <w:rsid w:val="000D1CEC"/>
    <w:rsid w:val="000F2E22"/>
    <w:rsid w:val="00115357"/>
    <w:rsid w:val="00141ABB"/>
    <w:rsid w:val="00155C4D"/>
    <w:rsid w:val="00180753"/>
    <w:rsid w:val="00194389"/>
    <w:rsid w:val="001960FF"/>
    <w:rsid w:val="001B19F4"/>
    <w:rsid w:val="001C4044"/>
    <w:rsid w:val="001D6624"/>
    <w:rsid w:val="001D7726"/>
    <w:rsid w:val="0021403E"/>
    <w:rsid w:val="0021417D"/>
    <w:rsid w:val="00214A7A"/>
    <w:rsid w:val="002305ED"/>
    <w:rsid w:val="00234263"/>
    <w:rsid w:val="002440FF"/>
    <w:rsid w:val="00261208"/>
    <w:rsid w:val="00270547"/>
    <w:rsid w:val="00290482"/>
    <w:rsid w:val="002E4597"/>
    <w:rsid w:val="002F527D"/>
    <w:rsid w:val="003150CE"/>
    <w:rsid w:val="0033411A"/>
    <w:rsid w:val="003433A8"/>
    <w:rsid w:val="003B2CD4"/>
    <w:rsid w:val="003C5666"/>
    <w:rsid w:val="003E2D64"/>
    <w:rsid w:val="003F79CA"/>
    <w:rsid w:val="00431A60"/>
    <w:rsid w:val="00480C57"/>
    <w:rsid w:val="00490756"/>
    <w:rsid w:val="00493BBC"/>
    <w:rsid w:val="004A1D79"/>
    <w:rsid w:val="004A6581"/>
    <w:rsid w:val="004D1078"/>
    <w:rsid w:val="004D2165"/>
    <w:rsid w:val="004D2286"/>
    <w:rsid w:val="00501D6D"/>
    <w:rsid w:val="00510923"/>
    <w:rsid w:val="00522C1B"/>
    <w:rsid w:val="005429D4"/>
    <w:rsid w:val="0055105A"/>
    <w:rsid w:val="0056512B"/>
    <w:rsid w:val="00572B91"/>
    <w:rsid w:val="00577FB2"/>
    <w:rsid w:val="0058093E"/>
    <w:rsid w:val="005853E7"/>
    <w:rsid w:val="00592944"/>
    <w:rsid w:val="00593F5D"/>
    <w:rsid w:val="005D3ADA"/>
    <w:rsid w:val="005D552A"/>
    <w:rsid w:val="005F0A34"/>
    <w:rsid w:val="00610060"/>
    <w:rsid w:val="00620AD8"/>
    <w:rsid w:val="00635281"/>
    <w:rsid w:val="00645452"/>
    <w:rsid w:val="00691FC2"/>
    <w:rsid w:val="0069757E"/>
    <w:rsid w:val="006E0F63"/>
    <w:rsid w:val="006E3E13"/>
    <w:rsid w:val="00701BF0"/>
    <w:rsid w:val="00716E97"/>
    <w:rsid w:val="00724222"/>
    <w:rsid w:val="00732489"/>
    <w:rsid w:val="00763E84"/>
    <w:rsid w:val="00783CE2"/>
    <w:rsid w:val="00784726"/>
    <w:rsid w:val="00797BAC"/>
    <w:rsid w:val="007C7CEF"/>
    <w:rsid w:val="007D203B"/>
    <w:rsid w:val="007D69DA"/>
    <w:rsid w:val="007E6AF3"/>
    <w:rsid w:val="007F1012"/>
    <w:rsid w:val="008146E0"/>
    <w:rsid w:val="00832C9D"/>
    <w:rsid w:val="0086582C"/>
    <w:rsid w:val="00895A88"/>
    <w:rsid w:val="008A36AD"/>
    <w:rsid w:val="008A6ED5"/>
    <w:rsid w:val="008C1712"/>
    <w:rsid w:val="008C7354"/>
    <w:rsid w:val="009026C3"/>
    <w:rsid w:val="00915C0B"/>
    <w:rsid w:val="0093240E"/>
    <w:rsid w:val="00936488"/>
    <w:rsid w:val="009435E7"/>
    <w:rsid w:val="0094400D"/>
    <w:rsid w:val="009675A4"/>
    <w:rsid w:val="00971F96"/>
    <w:rsid w:val="00973F94"/>
    <w:rsid w:val="009854BA"/>
    <w:rsid w:val="009B2D6F"/>
    <w:rsid w:val="00A01F45"/>
    <w:rsid w:val="00A20E5C"/>
    <w:rsid w:val="00A70359"/>
    <w:rsid w:val="00AB55FE"/>
    <w:rsid w:val="00AD43B8"/>
    <w:rsid w:val="00AF0E02"/>
    <w:rsid w:val="00B00C99"/>
    <w:rsid w:val="00B05ED2"/>
    <w:rsid w:val="00B267A3"/>
    <w:rsid w:val="00B36F3C"/>
    <w:rsid w:val="00B635D3"/>
    <w:rsid w:val="00B810E7"/>
    <w:rsid w:val="00B84177"/>
    <w:rsid w:val="00B912B9"/>
    <w:rsid w:val="00BB306F"/>
    <w:rsid w:val="00BF0B85"/>
    <w:rsid w:val="00C240CA"/>
    <w:rsid w:val="00C358CD"/>
    <w:rsid w:val="00C35E28"/>
    <w:rsid w:val="00C8594A"/>
    <w:rsid w:val="00C867C2"/>
    <w:rsid w:val="00C94E09"/>
    <w:rsid w:val="00CB7A7E"/>
    <w:rsid w:val="00CB7C76"/>
    <w:rsid w:val="00CF1787"/>
    <w:rsid w:val="00D05259"/>
    <w:rsid w:val="00D15DD4"/>
    <w:rsid w:val="00D2753E"/>
    <w:rsid w:val="00D32CE8"/>
    <w:rsid w:val="00D75427"/>
    <w:rsid w:val="00D948A6"/>
    <w:rsid w:val="00D94E96"/>
    <w:rsid w:val="00DA15DD"/>
    <w:rsid w:val="00DA65BD"/>
    <w:rsid w:val="00DC0455"/>
    <w:rsid w:val="00DC1E6E"/>
    <w:rsid w:val="00DD7129"/>
    <w:rsid w:val="00DF327A"/>
    <w:rsid w:val="00DF5492"/>
    <w:rsid w:val="00E1655B"/>
    <w:rsid w:val="00E64E4F"/>
    <w:rsid w:val="00E76141"/>
    <w:rsid w:val="00E95E9B"/>
    <w:rsid w:val="00EA368E"/>
    <w:rsid w:val="00EC20B0"/>
    <w:rsid w:val="00EC49B8"/>
    <w:rsid w:val="00ED41B7"/>
    <w:rsid w:val="00F1230D"/>
    <w:rsid w:val="00F14831"/>
    <w:rsid w:val="00F305D3"/>
    <w:rsid w:val="00F320CB"/>
    <w:rsid w:val="00F449B3"/>
    <w:rsid w:val="00F622F0"/>
    <w:rsid w:val="00F95F2D"/>
    <w:rsid w:val="00FA7947"/>
    <w:rsid w:val="00FB75AE"/>
    <w:rsid w:val="00FC356A"/>
    <w:rsid w:val="00FF3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0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0D0A"/>
    <w:rPr>
      <w:rFonts w:cs="Times New Roman"/>
      <w:color w:val="0066CC"/>
      <w:u w:val="single"/>
    </w:rPr>
  </w:style>
  <w:style w:type="character" w:customStyle="1" w:styleId="11">
    <w:name w:val="Основной текст (11)_"/>
    <w:basedOn w:val="DefaultParagraphFont"/>
    <w:link w:val="110"/>
    <w:uiPriority w:val="99"/>
    <w:locked/>
    <w:rsid w:val="00040D0A"/>
    <w:rPr>
      <w:rFonts w:ascii="Times New Roman" w:hAnsi="Times New Roman" w:cs="Times New Roman"/>
      <w:spacing w:val="0"/>
      <w:sz w:val="18"/>
      <w:szCs w:val="18"/>
    </w:rPr>
  </w:style>
  <w:style w:type="character" w:customStyle="1" w:styleId="111">
    <w:name w:val="Основной текст (11) + Полужирный"/>
    <w:basedOn w:val="11"/>
    <w:uiPriority w:val="99"/>
    <w:rsid w:val="00040D0A"/>
    <w:rPr>
      <w:b/>
      <w:bCs/>
    </w:rPr>
  </w:style>
  <w:style w:type="character" w:customStyle="1" w:styleId="19">
    <w:name w:val="Основной текст (19)_"/>
    <w:basedOn w:val="DefaultParagraphFont"/>
    <w:link w:val="191"/>
    <w:uiPriority w:val="99"/>
    <w:locked/>
    <w:rsid w:val="00040D0A"/>
    <w:rPr>
      <w:rFonts w:ascii="Times New Roman" w:hAnsi="Times New Roman" w:cs="Times New Roman"/>
      <w:b/>
      <w:bCs/>
      <w:spacing w:val="0"/>
      <w:sz w:val="18"/>
      <w:szCs w:val="18"/>
    </w:rPr>
  </w:style>
  <w:style w:type="character" w:customStyle="1" w:styleId="190">
    <w:name w:val="Основной текст (19) + Не полужирный"/>
    <w:basedOn w:val="19"/>
    <w:uiPriority w:val="99"/>
    <w:rsid w:val="00040D0A"/>
  </w:style>
  <w:style w:type="character" w:customStyle="1" w:styleId="192">
    <w:name w:val="Основной текст (19)"/>
    <w:basedOn w:val="19"/>
    <w:uiPriority w:val="99"/>
    <w:rsid w:val="00040D0A"/>
  </w:style>
  <w:style w:type="character" w:customStyle="1" w:styleId="1910">
    <w:name w:val="Основной текст (19) + Не полужирный1"/>
    <w:basedOn w:val="19"/>
    <w:uiPriority w:val="99"/>
    <w:rsid w:val="00040D0A"/>
    <w:rPr>
      <w:u w:val="single"/>
    </w:rPr>
  </w:style>
  <w:style w:type="character" w:customStyle="1" w:styleId="1110">
    <w:name w:val="Основной текст (11) + Полужирный1"/>
    <w:basedOn w:val="11"/>
    <w:uiPriority w:val="99"/>
    <w:rsid w:val="00040D0A"/>
    <w:rPr>
      <w:b/>
      <w:bCs/>
      <w:u w:val="single"/>
    </w:rPr>
  </w:style>
  <w:style w:type="paragraph" w:customStyle="1" w:styleId="110">
    <w:name w:val="Основной текст (11)"/>
    <w:basedOn w:val="Normal"/>
    <w:link w:val="11"/>
    <w:uiPriority w:val="99"/>
    <w:rsid w:val="00040D0A"/>
    <w:pPr>
      <w:shd w:val="clear" w:color="auto" w:fill="FFFFFF"/>
      <w:spacing w:line="230" w:lineRule="exact"/>
    </w:pPr>
    <w:rPr>
      <w:rFonts w:ascii="Times New Roman" w:hAnsi="Times New Roman" w:cs="Times New Roman"/>
      <w:color w:val="auto"/>
      <w:sz w:val="18"/>
      <w:szCs w:val="18"/>
    </w:rPr>
  </w:style>
  <w:style w:type="paragraph" w:customStyle="1" w:styleId="191">
    <w:name w:val="Основной текст (19)1"/>
    <w:basedOn w:val="Normal"/>
    <w:link w:val="19"/>
    <w:uiPriority w:val="99"/>
    <w:rsid w:val="00040D0A"/>
    <w:pPr>
      <w:shd w:val="clear" w:color="auto" w:fill="FFFFFF"/>
      <w:spacing w:line="230" w:lineRule="exact"/>
    </w:pPr>
    <w:rPr>
      <w:rFonts w:ascii="Times New Roman" w:hAnsi="Times New Roman" w:cs="Times New Roman"/>
      <w:b/>
      <w:bCs/>
      <w:color w:val="auto"/>
      <w:sz w:val="18"/>
      <w:szCs w:val="18"/>
    </w:rPr>
  </w:style>
  <w:style w:type="table" w:styleId="TableGrid">
    <w:name w:val="Table Grid"/>
    <w:basedOn w:val="TableNormal"/>
    <w:uiPriority w:val="99"/>
    <w:locked/>
    <w:rsid w:val="004A1D79"/>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4263"/>
    <w:pPr>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70444148">
      <w:marLeft w:val="0"/>
      <w:marRight w:val="0"/>
      <w:marTop w:val="0"/>
      <w:marBottom w:val="0"/>
      <w:divBdr>
        <w:top w:val="none" w:sz="0" w:space="0" w:color="auto"/>
        <w:left w:val="none" w:sz="0" w:space="0" w:color="auto"/>
        <w:bottom w:val="none" w:sz="0" w:space="0" w:color="auto"/>
        <w:right w:val="none" w:sz="0" w:space="0" w:color="auto"/>
      </w:divBdr>
    </w:div>
    <w:div w:id="470444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1935</Words>
  <Characters>11033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dc:title>
  <dc:subject/>
  <dc:creator>PR</dc:creator>
  <cp:keywords/>
  <dc:description/>
  <cp:lastModifiedBy>Acer</cp:lastModifiedBy>
  <cp:revision>4</cp:revision>
  <cp:lastPrinted>2011-05-17T12:42:00Z</cp:lastPrinted>
  <dcterms:created xsi:type="dcterms:W3CDTF">2017-10-05T12:59:00Z</dcterms:created>
  <dcterms:modified xsi:type="dcterms:W3CDTF">2017-10-12T09:47:00Z</dcterms:modified>
</cp:coreProperties>
</file>