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Договор о задатке (договор присоединения) 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 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 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2020 г.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 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ООО "ТендерСтандарт", именуемое в дальнейшем «Электронная торговая площадка» (ЭТП), в лице Генерального директора Горбатенко Ольги Васильевны, действующего(ей) на основании Устава, с одной стороны, и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 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, именуемый (ая) в дальнейшем «Претендент», в лице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 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, действующего на основании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       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, с другой стороны, заключили настоящий договор о нижеследующем:</w:t>
      </w:r>
    </w:p>
    <w:p>
      <w:pPr>
        <w:pStyle w:val="16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1.</w:t>
      </w:r>
      <w:r>
        <w:rPr>
          <w:rFonts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Претендент на участие в торгах 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по продаже имущества, принадлежащего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, присоединился к настоящему договору в соответствии с требованиями ст.ст. 380,381,428 ГК РФ, Регламенту ЭТП ООО "ТендерСтандарт", путем подачи установленной ФЗ «О несостоятельности (банкротстве)» заявки на участие в торгах 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2.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В соответствии с условиями настоящего договора Претендент для участия в торгах 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  на ЭТП ООО "ТендерСтандарт" по адресу: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"tenderstandart.ru" </w:instrText>
      </w:r>
      <w:r>
        <w:rPr>
          <w:lang w:val="ru"/>
        </w:rPr>
        <w:fldChar w:fldCharType="separate"/>
      </w:r>
      <w:r>
        <w:rPr>
          <w:rStyle w:val="12"/>
          <w:rFonts w:hint="default" w:ascii="Times New Roman" w:hAnsi="Times New Roman" w:cs="Times New Roman"/>
          <w:sz w:val="24"/>
          <w:szCs w:val="24"/>
          <w:u w:val="single"/>
          <w:lang w:val="en-US"/>
        </w:rPr>
        <w:t>tenderstandart.ru</w:t>
      </w:r>
      <w:r>
        <w:rPr>
          <w:lang w:val="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"/>
        </w:rPr>
        <w:t>, по продаже имущества, принадлежащего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, проводимых согласно объявления 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, опубликованного на ЕФРСБ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»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2020 г. (далее – Имущество, Лот 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), оплачивает денежные средства в размере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% от цены на интервале – «Задаток» в сумме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 xml:space="preserve"> руб.  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путем перечисления денежных средств на расчетный счет ЭТП по следующим реквизитам:</w:t>
      </w:r>
    </w:p>
    <w:p>
      <w:pPr>
        <w:pStyle w:val="18"/>
        <w:keepNext w:val="0"/>
        <w:keepLines w:val="0"/>
        <w:widowControl/>
        <w:suppressLineNumbers w:val="0"/>
        <w:ind w:left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Получатель: ООО "ТендерСтандарт"</w:t>
      </w:r>
    </w:p>
    <w:p>
      <w:pPr>
        <w:pStyle w:val="18"/>
        <w:keepNext w:val="0"/>
        <w:keepLines w:val="0"/>
        <w:widowControl/>
        <w:suppressLineNumbers w:val="0"/>
        <w:ind w:left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ИНН 6163109679 КПП 616301001</w:t>
      </w:r>
    </w:p>
    <w:p>
      <w:pPr>
        <w:pStyle w:val="18"/>
        <w:keepNext w:val="0"/>
        <w:keepLines w:val="0"/>
        <w:widowControl/>
        <w:suppressLineNumbers w:val="0"/>
        <w:ind w:left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р/с 40702810800000000753</w:t>
      </w:r>
    </w:p>
    <w:p>
      <w:pPr>
        <w:pStyle w:val="18"/>
        <w:keepNext w:val="0"/>
        <w:keepLines w:val="0"/>
        <w:widowControl/>
        <w:suppressLineNumbers w:val="0"/>
        <w:ind w:left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в банке "ТАГАНРОГБАНК" (ПАО)</w:t>
      </w:r>
    </w:p>
    <w:p>
      <w:pPr>
        <w:pStyle w:val="18"/>
        <w:keepNext w:val="0"/>
        <w:keepLines w:val="0"/>
        <w:widowControl/>
        <w:suppressLineNumbers w:val="0"/>
        <w:ind w:left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к/с 30101810960150000946</w:t>
      </w:r>
    </w:p>
    <w:p>
      <w:pPr>
        <w:pStyle w:val="18"/>
        <w:keepNext w:val="0"/>
        <w:keepLines w:val="0"/>
        <w:widowControl/>
        <w:suppressLineNumbers w:val="0"/>
        <w:ind w:left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БИК 046015946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3.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4.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"/>
        </w:rPr>
        <w:t>    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 xml:space="preserve">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5.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6.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7.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8.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9.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10.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10.1.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10.2.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10.3.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10.4.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11.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12.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13.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>
      <w:pPr>
        <w:pStyle w:val="18"/>
        <w:keepNext w:val="0"/>
        <w:keepLines w:val="0"/>
        <w:widowControl/>
        <w:suppressLineNumbers w:val="0"/>
        <w:ind w:left="0" w:firstLine="567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14.</w:t>
      </w:r>
      <w:r>
        <w:rPr>
          <w:rFonts w:hint="default" w:ascii="Times New Roman" w:hAnsi="Times New Roman" w:cs="Times New Roman"/>
          <w:sz w:val="14"/>
          <w:szCs w:val="14"/>
          <w:lang w:val="ru"/>
        </w:rPr>
        <w:t xml:space="preserve">    </w:t>
      </w:r>
      <w:r>
        <w:rPr>
          <w:rFonts w:hint="default" w:ascii="Times New Roman" w:hAnsi="Times New Roman" w:cs="Times New Roman"/>
          <w:sz w:val="24"/>
          <w:szCs w:val="24"/>
          <w:lang w:val="ru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19"/>
        <w:keepNext w:val="0"/>
        <w:keepLines w:val="0"/>
        <w:widowControl/>
        <w:suppressLineNumbers w:val="0"/>
        <w:ind w:left="920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 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b/>
          <w:sz w:val="24"/>
          <w:szCs w:val="24"/>
          <w:lang w:val="ru"/>
        </w:rPr>
        <w:t>Реквизиты Сторон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9"/>
        <w:gridCol w:w="52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9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76" w:lineRule="auto"/>
              <w:jc w:val="center"/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none" w:color="auto" w:sz="0" w:space="0"/>
                <w:lang w:val="ru"/>
              </w:rPr>
              <w:t>Электронная торговая площадка</w:t>
            </w:r>
          </w:p>
        </w:tc>
        <w:tc>
          <w:tcPr>
            <w:tcW w:w="5240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center"/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none" w:color="auto" w:sz="0" w:space="0"/>
                <w:lang w:val="ru"/>
              </w:rPr>
              <w:t>            Претендент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9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76" w:lineRule="auto"/>
              <w:jc w:val="both"/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none" w:color="auto" w:sz="0" w:space="0"/>
                <w:lang w:val="ru"/>
              </w:rPr>
              <w:t>ООО "ТендерСтандарт"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344022, г. Ростов-на-Дону, ул. Пушкинская, д. 104/32, оф. 61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ИНН 6163109679 КПП 616301001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ОГРН 1116195010580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"ТАГАНРОГБАНК" (ПАО)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р/с 40702810800000000753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к/с 30101810960150000946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  <w:t>БИК 046015946</w:t>
            </w:r>
          </w:p>
          <w:p>
            <w:pPr>
              <w:keepNext w:val="0"/>
              <w:keepLines w:val="0"/>
              <w:widowControl/>
              <w:suppressLineNumbers w:val="0"/>
              <w:spacing w:after="0" w:afterAutospacing="0" w:line="276" w:lineRule="auto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</w:tc>
        <w:tc>
          <w:tcPr>
            <w:tcW w:w="4539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20" w:right="0"/>
            </w:pPr>
          </w:p>
          <w:p>
            <w:pPr>
              <w:keepNext w:val="0"/>
              <w:keepLines w:val="0"/>
              <w:widowControl/>
              <w:suppressLineNumbers w:val="0"/>
              <w:spacing w:after="0" w:afterAutospacing="0" w:line="276" w:lineRule="auto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9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none" w:color="auto" w:sz="0" w:space="0"/>
                <w:lang w:val="ru"/>
              </w:rPr>
              <w:t xml:space="preserve">Генеральный Директор </w:t>
            </w:r>
          </w:p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___________________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none" w:color="auto" w:sz="0" w:space="0"/>
                <w:lang w:val="ru"/>
              </w:rPr>
              <w:t>/Горбатенко О.В.</w:t>
            </w:r>
          </w:p>
        </w:tc>
        <w:tc>
          <w:tcPr>
            <w:tcW w:w="5240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___________________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bdr w:val="none" w:color="auto" w:sz="0" w:space="0"/>
                <w:lang w:val="ru"/>
              </w:rPr>
              <w:t>/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9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</w:tc>
        <w:tc>
          <w:tcPr>
            <w:tcW w:w="5240" w:type="dxa"/>
            <w:shd w:val="clear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240" w:lineRule="auto"/>
              <w:jc w:val="both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  <w:lang w:val="ru"/>
              </w:rPr>
              <w:t> </w:t>
            </w:r>
          </w:p>
        </w:tc>
      </w:tr>
    </w:tbl>
    <w:p>
      <w:pPr>
        <w:pStyle w:val="15"/>
        <w:keepNext w:val="0"/>
        <w:keepLines w:val="0"/>
        <w:widowControl/>
        <w:suppressLineNumbers w:val="0"/>
        <w:ind w:left="920"/>
        <w:jc w:val="center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 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 </w:t>
      </w:r>
    </w:p>
    <w:sectPr>
      <w:pgSz w:w="11900" w:h="16820"/>
      <w:pgMar w:top="700" w:right="700" w:bottom="980" w:left="14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27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  <w:ind w:left="0" w:right="0"/>
      <w:jc w:val="left"/>
    </w:pPr>
    <w:rPr>
      <w:rFonts w:hint="default" w:ascii="Calibri" w:hAnsi="Calibri" w:cs="Calibri" w:eastAsiaTheme="minorEastAsia"/>
      <w:kern w:val="0"/>
      <w:sz w:val="22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240" w:lineRule="auto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240" w:lineRule="auto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 w:line="240" w:lineRule="auto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 w:line="240" w:lineRule="auto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 w:line="240" w:lineRule="auto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 w:line="240" w:lineRule="auto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(Web)"/>
    <w:basedOn w:val="1"/>
    <w:uiPriority w:val="0"/>
    <w:pPr>
      <w:spacing w:before="0" w:beforeAutospacing="1" w:after="0" w:afterAutospacing="1" w:line="240" w:lineRule="auto"/>
      <w:ind w:left="0" w:right="0"/>
      <w:jc w:val="left"/>
    </w:pPr>
    <w:rPr>
      <w:rFonts w:ascii="SimSun" w:hAnsi="SimSun" w:cs="SimSun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4">
    <w:name w:val="msochpdefault"/>
    <w:basedOn w:val="1"/>
    <w:uiPriority w:val="0"/>
    <w:pPr>
      <w:spacing w:after="0" w:line="240" w:lineRule="auto"/>
      <w:jc w:val="left"/>
    </w:pPr>
    <w:rPr>
      <w:rFonts w:hint="default" w:ascii="Calibri" w:hAnsi="Calibri" w:cs="Calibri"/>
      <w:kern w:val="0"/>
      <w:sz w:val="24"/>
      <w:szCs w:val="24"/>
      <w:lang w:val="en-US" w:eastAsia="zh-CN" w:bidi="ar"/>
    </w:rPr>
  </w:style>
  <w:style w:type="paragraph" w:customStyle="1" w:styleId="15">
    <w:name w:val="msolistparagraph"/>
    <w:basedOn w:val="1"/>
    <w:uiPriority w:val="0"/>
    <w:pPr>
      <w:spacing w:before="0" w:beforeAutospacing="0" w:after="200" w:afterAutospacing="0" w:line="276" w:lineRule="auto"/>
      <w:ind w:left="720" w:right="0"/>
      <w:jc w:val="left"/>
    </w:pPr>
    <w:rPr>
      <w:rFonts w:hint="default" w:ascii="Calibri" w:hAnsi="Calibri" w:cs="Calibri"/>
      <w:kern w:val="0"/>
      <w:sz w:val="22"/>
      <w:szCs w:val="22"/>
      <w:lang w:val="en-US" w:eastAsia="zh-CN" w:bidi="ar"/>
    </w:rPr>
  </w:style>
  <w:style w:type="paragraph" w:customStyle="1" w:styleId="16">
    <w:name w:val="msolistparagraphcxspfirst"/>
    <w:basedOn w:val="1"/>
    <w:uiPriority w:val="0"/>
    <w:pPr>
      <w:spacing w:before="0" w:beforeAutospacing="0" w:after="0" w:afterAutospacing="0" w:line="276" w:lineRule="auto"/>
      <w:ind w:left="720" w:right="0"/>
      <w:jc w:val="left"/>
    </w:pPr>
    <w:rPr>
      <w:rFonts w:hint="default" w:ascii="Calibri" w:hAnsi="Calibri" w:cs="Calibri"/>
      <w:kern w:val="0"/>
      <w:sz w:val="22"/>
      <w:szCs w:val="22"/>
      <w:lang w:val="en-US" w:eastAsia="zh-CN" w:bidi="ar"/>
    </w:rPr>
  </w:style>
  <w:style w:type="paragraph" w:customStyle="1" w:styleId="17">
    <w:name w:val="msopapdefault"/>
    <w:basedOn w:val="1"/>
    <w:uiPriority w:val="0"/>
    <w:pPr>
      <w:spacing w:after="200" w:afterAutospacing="0" w:line="276" w:lineRule="auto"/>
      <w:jc w:val="left"/>
    </w:pPr>
    <w:rPr>
      <w:rFonts w:ascii="SimSun" w:hAnsi="SimSun" w:cs="SimSun"/>
      <w:kern w:val="0"/>
      <w:sz w:val="24"/>
      <w:szCs w:val="24"/>
      <w:lang w:val="en-US" w:eastAsia="zh-CN" w:bidi="ar"/>
    </w:rPr>
  </w:style>
  <w:style w:type="paragraph" w:customStyle="1" w:styleId="18">
    <w:name w:val="msolistparagraphcxspmiddle"/>
    <w:basedOn w:val="1"/>
    <w:uiPriority w:val="0"/>
    <w:pPr>
      <w:spacing w:before="0" w:beforeAutospacing="0" w:after="0" w:afterAutospacing="0" w:line="276" w:lineRule="auto"/>
      <w:ind w:left="720" w:right="0"/>
      <w:jc w:val="left"/>
    </w:pPr>
    <w:rPr>
      <w:rFonts w:hint="default" w:ascii="Calibri" w:hAnsi="Calibri" w:cs="Calibri"/>
      <w:kern w:val="0"/>
      <w:sz w:val="22"/>
      <w:szCs w:val="22"/>
      <w:lang w:val="en-US" w:eastAsia="zh-CN" w:bidi="ar"/>
    </w:rPr>
  </w:style>
  <w:style w:type="paragraph" w:customStyle="1" w:styleId="19">
    <w:name w:val="msolistparagraphcxsplast"/>
    <w:basedOn w:val="1"/>
    <w:uiPriority w:val="0"/>
    <w:pPr>
      <w:spacing w:before="0" w:beforeAutospacing="0" w:after="200" w:afterAutospacing="0" w:line="276" w:lineRule="auto"/>
      <w:ind w:left="720" w:right="0"/>
      <w:jc w:val="left"/>
    </w:pPr>
    <w:rPr>
      <w:rFonts w:hint="default" w:ascii="Calibri" w:hAnsi="Calibri" w:cs="Calibri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Office_11.2.0.9144_F1E327BC-269C-435d-A152-05C5408002CA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2020-02-10T10:46:31Z</dcterms:created>
  <dc:creator>Николай</dc:creator>
  <cp:lastModifiedBy>Николай</cp:lastModifiedBy>
  <dcterms:modified xsi:type="dcterms:W3CDTF">2020-02-10T10:52:06Z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