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A86167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A86167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управляющий </w:t>
      </w:r>
      <w:r w:rsidR="00A86167" w:rsidRPr="00A86167">
        <w:rPr>
          <w:sz w:val="21"/>
          <w:szCs w:val="21"/>
        </w:rPr>
        <w:t>Глибко Марины Вадимовны</w:t>
      </w:r>
      <w:r w:rsidR="008E3A9F" w:rsidRPr="00A86167">
        <w:rPr>
          <w:sz w:val="21"/>
          <w:szCs w:val="21"/>
        </w:rPr>
        <w:t xml:space="preserve"> </w:t>
      </w:r>
      <w:r w:rsidR="005F41A0" w:rsidRPr="00A86167">
        <w:rPr>
          <w:sz w:val="21"/>
          <w:szCs w:val="21"/>
        </w:rPr>
        <w:t>Цирульников Павел Сергеевич</w:t>
      </w:r>
      <w:r w:rsidR="001A550F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="00A158BD" w:rsidRPr="00A86167">
        <w:rPr>
          <w:sz w:val="21"/>
          <w:szCs w:val="21"/>
        </w:rPr>
        <w:t xml:space="preserve">действующий </w:t>
      </w:r>
      <w:r w:rsidR="00581F32" w:rsidRPr="00A86167">
        <w:rPr>
          <w:sz w:val="21"/>
          <w:szCs w:val="21"/>
        </w:rPr>
        <w:t xml:space="preserve">от своего имени и за свой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электронной площадки </w:t>
      </w:r>
      <w:r w:rsidR="008E3A9F" w:rsidRPr="00A86167">
        <w:rPr>
          <w:sz w:val="21"/>
          <w:szCs w:val="21"/>
        </w:rPr>
        <w:t xml:space="preserve">– </w:t>
      </w:r>
      <w:r w:rsidR="00771F8A" w:rsidRPr="00A86167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A86167">
        <w:rPr>
          <w:sz w:val="21"/>
          <w:szCs w:val="21"/>
        </w:rPr>
        <w:t>ТендерСтандарт</w:t>
      </w:r>
      <w:proofErr w:type="spellEnd"/>
      <w:r w:rsidR="00771F8A" w:rsidRPr="00A86167">
        <w:rPr>
          <w:sz w:val="21"/>
          <w:szCs w:val="21"/>
        </w:rPr>
        <w:t>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>ИНН 6163109679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 xml:space="preserve">, действующего на основании п.20, ст.110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 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A86167">
        <w:rPr>
          <w:rFonts w:ascii="Times New Roman" w:hAnsi="Times New Roman" w:cs="Times New Roman"/>
          <w:sz w:val="21"/>
          <w:szCs w:val="21"/>
        </w:rPr>
        <w:t>счёт</w:t>
      </w:r>
      <w:r w:rsidR="005F41A0" w:rsidRPr="00A8616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A86167" w:rsidRPr="00A86167">
        <w:rPr>
          <w:rFonts w:ascii="Times New Roman" w:hAnsi="Times New Roman" w:cs="Times New Roman"/>
          <w:sz w:val="21"/>
          <w:szCs w:val="21"/>
        </w:rPr>
        <w:t>Глибко Марины Вадимовны</w:t>
      </w:r>
      <w:r w:rsidR="00771F8A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A86167">
        <w:rPr>
          <w:rFonts w:ascii="Times New Roman" w:hAnsi="Times New Roman" w:cs="Times New Roman"/>
          <w:sz w:val="21"/>
          <w:szCs w:val="21"/>
        </w:rPr>
        <w:t>2</w:t>
      </w:r>
      <w:r w:rsidR="005D7391" w:rsidRPr="00A86167">
        <w:rPr>
          <w:rFonts w:ascii="Times New Roman" w:hAnsi="Times New Roman" w:cs="Times New Roman"/>
          <w:sz w:val="21"/>
          <w:szCs w:val="21"/>
        </w:rPr>
        <w:t>0</w:t>
      </w:r>
      <w:r w:rsidR="00B05391" w:rsidRPr="00A86167">
        <w:rPr>
          <w:rFonts w:ascii="Times New Roman" w:hAnsi="Times New Roman" w:cs="Times New Roman"/>
          <w:sz w:val="21"/>
          <w:szCs w:val="21"/>
        </w:rPr>
        <w:t>%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A86167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A86167">
        <w:rPr>
          <w:rFonts w:ascii="Times New Roman" w:hAnsi="Times New Roman" w:cs="Times New Roman"/>
          <w:sz w:val="21"/>
          <w:szCs w:val="21"/>
        </w:rPr>
        <w:t>(лота)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sz w:val="21"/>
          <w:szCs w:val="21"/>
        </w:rPr>
        <w:t>счёт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A86167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A86167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A86167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A86167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A86167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4435E8" w:rsidRPr="00A86167">
        <w:rPr>
          <w:rFonts w:ascii="Times New Roman" w:hAnsi="Times New Roman" w:cs="Times New Roman"/>
          <w:sz w:val="21"/>
          <w:szCs w:val="21"/>
        </w:rPr>
        <w:t>Михалициной Ирины Витальевны</w:t>
      </w:r>
      <w:r w:rsidR="001A550F" w:rsidRPr="00A86167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A86167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Аукцион проводится на условиях, предусмотренных информационным сообщением о проведен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ии ау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кциона по продаже </w:t>
      </w:r>
      <w:r w:rsidR="005F41A0" w:rsidRPr="00A86167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A86167" w:rsidTr="00A86167">
        <w:tc>
          <w:tcPr>
            <w:tcW w:w="4327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A86167" w:rsidRDefault="00A86167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Глибко Марины Вадимовны</w:t>
            </w:r>
          </w:p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A86167">
              <w:rPr>
                <w:sz w:val="21"/>
                <w:szCs w:val="21"/>
              </w:rPr>
              <w:t>г</w:t>
            </w:r>
            <w:proofErr w:type="gramEnd"/>
            <w:r w:rsidRPr="00A86167">
              <w:rPr>
                <w:sz w:val="21"/>
                <w:szCs w:val="21"/>
              </w:rPr>
              <w:t>. Березовский, а/я 96</w:t>
            </w:r>
          </w:p>
          <w:p w:rsidR="00640660" w:rsidRPr="00A86167" w:rsidRDefault="00A86167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Адрес регистрации должника: 620014, г. Екатеринбург, ул. Февральской революции, д. 15, кв. 1</w:t>
            </w:r>
          </w:p>
          <w:p w:rsidR="00640660" w:rsidRPr="00A86167" w:rsidRDefault="00640660" w:rsidP="00A86167">
            <w:pPr>
              <w:rPr>
                <w:bCs/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ИНН </w:t>
            </w:r>
            <w:r w:rsidR="00A86167" w:rsidRPr="00A86167">
              <w:rPr>
                <w:sz w:val="21"/>
                <w:szCs w:val="21"/>
              </w:rPr>
              <w:t>660901852407</w:t>
            </w:r>
          </w:p>
          <w:p w:rsidR="00640660" w:rsidRPr="00A86167" w:rsidRDefault="00640660" w:rsidP="00A861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. Березовский, ул. Загвозкина, 18.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Наименование и адрес структурного подразделения: Доп. офис № 7003/0798 ПАО «СБЕРБАНК РОССИИ»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Корреспондентский счет: 30101810500000000674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Расчетный счет: 47422810816549940001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БИК: 046577674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КПП: 660402001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ИНН: 7707083893</w:t>
            </w:r>
          </w:p>
          <w:p w:rsidR="00A86167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Счет Получателя 40817810516540823505</w:t>
            </w:r>
          </w:p>
          <w:p w:rsidR="00640660" w:rsidRPr="00A86167" w:rsidRDefault="00A86167" w:rsidP="00A861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6167">
              <w:rPr>
                <w:color w:val="000000"/>
                <w:sz w:val="21"/>
                <w:szCs w:val="21"/>
                <w:shd w:val="clear" w:color="auto" w:fill="FFFFFF"/>
              </w:rPr>
              <w:t>Ф.И.О. Получателя: Глибко Марина Вадимовна</w:t>
            </w:r>
            <w:r w:rsidR="00640660" w:rsidRPr="00A86167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F875-5FDB-40A3-B18B-87DAD88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2021-07-20T03:39:00Z</dcterms:created>
  <dcterms:modified xsi:type="dcterms:W3CDTF">2021-07-20T03:39:00Z</dcterms:modified>
</cp:coreProperties>
</file>