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8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Договор о задатке (договор присоединения) №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"/>
        </w:rPr>
        <w:t>   </w:t>
      </w:r>
    </w:p>
    <w:p>
      <w:pPr>
        <w:pStyle w:val="8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 </w:t>
      </w:r>
    </w:p>
    <w:p>
      <w:pPr>
        <w:pStyle w:val="8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right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  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 xml:space="preserve">»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 xml:space="preserve"> 2020 г.</w:t>
      </w:r>
    </w:p>
    <w:p>
      <w:pPr>
        <w:pStyle w:val="8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 </w:t>
      </w:r>
    </w:p>
    <w:p>
      <w:pPr>
        <w:pStyle w:val="8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7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 xml:space="preserve">ООО "ТендерСтандарт", именуемое в дальнейшем «Электронная торговая площадка» (ЭТП), в лице Генерального директора Горбатенко Ольги Васильевны, действующего(ей) на основании Устава, с одной стороны, и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"/>
        </w:rPr>
        <w:t>         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 xml:space="preserve">                   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"/>
        </w:rPr>
        <w:t>         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 xml:space="preserve"> , именуемый (ая) в дальнейшем «Претендент», в лице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"/>
        </w:rPr>
        <w:t>         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 xml:space="preserve">                      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"/>
        </w:rPr>
        <w:t>         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 xml:space="preserve"> , действующего на основании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"/>
        </w:rPr>
        <w:t>                 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, с другой стороны, заключили настоящий договор о нижеследующем:</w:t>
      </w:r>
    </w:p>
    <w:p>
      <w:pPr>
        <w:pStyle w:val="16"/>
        <w:keepNext w:val="0"/>
        <w:keepLines w:val="0"/>
        <w:widowControl/>
        <w:suppressLineNumbers w:val="0"/>
        <w:ind w:left="0" w:firstLine="567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1.</w:t>
      </w:r>
      <w:r>
        <w:rPr>
          <w:rFonts w:ascii="Times New Roman" w:hAnsi="Times New Roman" w:cs="Times New Roman"/>
          <w:sz w:val="14"/>
          <w:szCs w:val="14"/>
          <w:lang w:val="ru"/>
        </w:rPr>
        <w:t xml:space="preserve">    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Претендент на участие в торгах №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"/>
        </w:rPr>
        <w:t>    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 xml:space="preserve"> по продаже имущества, принадлежащего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"/>
        </w:rPr>
        <w:t>        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, присоединился к настоящему договору в соответствии с требованиями ст.ст. 380,381,428 ГК РФ, Регламенту ЭТП ООО "ТендерСтандарт", путем подачи установленной ФЗ «О несостоятельности (банкротстве)» заявки на участие в торгах №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"/>
        </w:rPr>
        <w:t>  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"/>
        </w:rPr>
        <w:t>  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.</w:t>
      </w:r>
    </w:p>
    <w:p>
      <w:pPr>
        <w:pStyle w:val="18"/>
        <w:keepNext w:val="0"/>
        <w:keepLines w:val="0"/>
        <w:widowControl/>
        <w:suppressLineNumbers w:val="0"/>
        <w:ind w:left="0" w:firstLine="567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2.</w:t>
      </w:r>
      <w:r>
        <w:rPr>
          <w:rFonts w:hint="default" w:ascii="Times New Roman" w:hAnsi="Times New Roman" w:cs="Times New Roman"/>
          <w:sz w:val="14"/>
          <w:szCs w:val="14"/>
          <w:lang w:val="ru"/>
        </w:rPr>
        <w:t xml:space="preserve">    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В соответствии с условиями настоящего договора Претендент для участия в торгах №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"/>
        </w:rPr>
        <w:t>    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 xml:space="preserve">  на ЭТП ООО "ТендерСтандарт" по адресу: 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"tenderstandart.ru" </w:instrText>
      </w:r>
      <w:r>
        <w:rPr>
          <w:lang w:val="ru"/>
        </w:rPr>
        <w:fldChar w:fldCharType="separate"/>
      </w:r>
      <w:r>
        <w:rPr>
          <w:rStyle w:val="12"/>
          <w:rFonts w:hint="default" w:ascii="Times New Roman" w:hAnsi="Times New Roman" w:cs="Times New Roman"/>
          <w:sz w:val="24"/>
          <w:szCs w:val="24"/>
          <w:u w:val="single"/>
          <w:lang w:val="en-US"/>
        </w:rPr>
        <w:t>tenderstandart.ru</w:t>
      </w:r>
      <w:r>
        <w:rPr>
          <w:lang w:val="ru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ru"/>
        </w:rPr>
        <w:t>, по продаже имущества, принадлежащего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"/>
        </w:rPr>
        <w:t>    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 xml:space="preserve">                      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"/>
        </w:rPr>
        <w:t>    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, проводимых согласно объявления №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"/>
        </w:rPr>
        <w:t>    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, опубликованного на ЕФРСБ 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»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"/>
        </w:rPr>
        <w:t>  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 xml:space="preserve">          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"/>
        </w:rPr>
        <w:t>  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2020 г. (далее – Имущество, Лот №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"/>
        </w:rPr>
        <w:t>    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 xml:space="preserve">), оплачивает денежные средства в размере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"/>
        </w:rPr>
        <w:t>  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 xml:space="preserve">     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"/>
        </w:rPr>
        <w:t>  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 xml:space="preserve">% от цены на интервале – «Задаток» в сумме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"/>
        </w:rPr>
        <w:t>      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 xml:space="preserve">      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"/>
        </w:rPr>
        <w:t xml:space="preserve"> руб.      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 xml:space="preserve"> путем перечисления денежных средств на расчетный счет ЭТП по следующим реквизитам:</w:t>
      </w:r>
    </w:p>
    <w:p>
      <w:pPr>
        <w:pStyle w:val="18"/>
        <w:keepNext w:val="0"/>
        <w:keepLines w:val="0"/>
        <w:widowControl/>
        <w:suppressLineNumbers w:val="0"/>
        <w:ind w:left="567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Получатель: ООО "ТендерСтандарт"</w:t>
      </w:r>
    </w:p>
    <w:p>
      <w:pPr>
        <w:pStyle w:val="18"/>
        <w:keepNext w:val="0"/>
        <w:keepLines w:val="0"/>
        <w:widowControl/>
        <w:suppressLineNumbers w:val="0"/>
        <w:ind w:left="567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ИНН 6163109679 КПП 616301001</w:t>
      </w:r>
    </w:p>
    <w:p>
      <w:pPr>
        <w:pStyle w:val="18"/>
        <w:keepNext w:val="0"/>
        <w:keepLines w:val="0"/>
        <w:widowControl/>
        <w:suppressLineNumbers w:val="0"/>
        <w:ind w:left="567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р/с 40702810800000000753</w:t>
      </w:r>
    </w:p>
    <w:p>
      <w:pPr>
        <w:pStyle w:val="18"/>
        <w:keepNext w:val="0"/>
        <w:keepLines w:val="0"/>
        <w:widowControl/>
        <w:suppressLineNumbers w:val="0"/>
        <w:ind w:left="567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в банке "ТАГАНРОГБАНК" (ПАО)</w:t>
      </w:r>
    </w:p>
    <w:p>
      <w:pPr>
        <w:pStyle w:val="18"/>
        <w:keepNext w:val="0"/>
        <w:keepLines w:val="0"/>
        <w:widowControl/>
        <w:suppressLineNumbers w:val="0"/>
        <w:ind w:left="567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к/с 30101810960150000946</w:t>
      </w:r>
    </w:p>
    <w:p>
      <w:pPr>
        <w:pStyle w:val="18"/>
        <w:keepNext w:val="0"/>
        <w:keepLines w:val="0"/>
        <w:widowControl/>
        <w:suppressLineNumbers w:val="0"/>
        <w:ind w:left="567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БИК 046015946</w:t>
      </w:r>
    </w:p>
    <w:p>
      <w:pPr>
        <w:pStyle w:val="18"/>
        <w:keepNext w:val="0"/>
        <w:keepLines w:val="0"/>
        <w:widowControl/>
        <w:suppressLineNumbers w:val="0"/>
        <w:ind w:left="0" w:firstLine="567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3.</w:t>
      </w:r>
      <w:r>
        <w:rPr>
          <w:rFonts w:hint="default" w:ascii="Times New Roman" w:hAnsi="Times New Roman" w:cs="Times New Roman"/>
          <w:sz w:val="14"/>
          <w:szCs w:val="14"/>
          <w:lang w:val="ru"/>
        </w:rPr>
        <w:t xml:space="preserve">    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Оплата задатка Претендента на расчетный счет ЭТП признается сторонами заключением настоящего договора на оговоренных в нем условиях путем присоединения в порядке ст.428 ГК РФ.</w:t>
      </w:r>
    </w:p>
    <w:p>
      <w:pPr>
        <w:pStyle w:val="18"/>
        <w:keepNext w:val="0"/>
        <w:keepLines w:val="0"/>
        <w:widowControl/>
        <w:suppressLineNumbers w:val="0"/>
        <w:ind w:left="0" w:firstLine="567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4.</w:t>
      </w:r>
      <w:r>
        <w:rPr>
          <w:rFonts w:hint="default" w:ascii="Times New Roman" w:hAnsi="Times New Roman" w:cs="Times New Roman"/>
          <w:sz w:val="14"/>
          <w:szCs w:val="14"/>
          <w:lang w:val="ru"/>
        </w:rPr>
        <w:t xml:space="preserve">    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 xml:space="preserve">Задаток в полном объеме должен быть внесен Претендентом не позднее даты, указанной в сообщении организатора торгов о продаже Имущества должника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"/>
        </w:rPr>
        <w:t>    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 xml:space="preserve">          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"/>
        </w:rPr>
        <w:t>    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 xml:space="preserve"> и должен быть зачислен на расчетный счет ЭТП, указанный в п. 2 настоящего договора, не позднее даты, указанной в сообщении о продаже. Задаток считается оплаченным в соответствии с условиями настоящего договора с момента зачисления денежных средств на расчетный счет ЭТП.</w:t>
      </w:r>
    </w:p>
    <w:p>
      <w:pPr>
        <w:pStyle w:val="18"/>
        <w:keepNext w:val="0"/>
        <w:keepLines w:val="0"/>
        <w:widowControl/>
        <w:suppressLineNumbers w:val="0"/>
        <w:ind w:left="0" w:firstLine="567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5.</w:t>
      </w:r>
      <w:r>
        <w:rPr>
          <w:rFonts w:hint="default" w:ascii="Times New Roman" w:hAnsi="Times New Roman" w:cs="Times New Roman"/>
          <w:sz w:val="14"/>
          <w:szCs w:val="14"/>
          <w:lang w:val="ru"/>
        </w:rPr>
        <w:t xml:space="preserve">    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Если сумма задатка от Претендента не была зачислена на расчетный счет ЭТП, указанный в сообщении и настоящем договоре, на дату, указанную в сообщении о продаже Имущества, то Претендент не допускается к участию в торгах. Представление Претендентом платежных документов с отметкой об исполнении при этом во внимание для принятия решения о признании Претендента Участником торгов не принимается.</w:t>
      </w:r>
    </w:p>
    <w:p>
      <w:pPr>
        <w:pStyle w:val="18"/>
        <w:keepNext w:val="0"/>
        <w:keepLines w:val="0"/>
        <w:widowControl/>
        <w:suppressLineNumbers w:val="0"/>
        <w:ind w:left="0" w:firstLine="567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6.</w:t>
      </w:r>
      <w:r>
        <w:rPr>
          <w:rFonts w:hint="default" w:ascii="Times New Roman" w:hAnsi="Times New Roman" w:cs="Times New Roman"/>
          <w:sz w:val="14"/>
          <w:szCs w:val="14"/>
          <w:lang w:val="ru"/>
        </w:rPr>
        <w:t xml:space="preserve">    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Договор о задатке подписывается Претендентом электронной подписью Претендента. Претендент вправе направить задаток  на счет ЭТП, указанный в настоящем договоре, без подписания настоящего Договора электронной цифровой подписью Претендента, в этом случае перечисление задатка в полном размере Претендентом в соответствии с сообщением о проведении торгов считается акцептом размещенного на электронной площадке договора о задатке. Задаток в соответствии со ст.380, 381 ГК РФ выступает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торгов, при этом на сумму задатка распространяются положения ст. 381 ГК РФ в полном объеме.</w:t>
      </w:r>
    </w:p>
    <w:p>
      <w:pPr>
        <w:pStyle w:val="18"/>
        <w:keepNext w:val="0"/>
        <w:keepLines w:val="0"/>
        <w:widowControl/>
        <w:suppressLineNumbers w:val="0"/>
        <w:ind w:left="0" w:firstLine="567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7.</w:t>
      </w:r>
      <w:r>
        <w:rPr>
          <w:rFonts w:hint="default" w:ascii="Times New Roman" w:hAnsi="Times New Roman" w:cs="Times New Roman"/>
          <w:sz w:val="14"/>
          <w:szCs w:val="14"/>
          <w:lang w:val="ru"/>
        </w:rPr>
        <w:t xml:space="preserve">    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Претендент обязан указать в платежном документе в графе «назначение платежа» ссылку на дату проведения торгов, номер торговой процедуры, номер Лота согласно сообщению о продаже Имущества, опубликованному организатором торгов.</w:t>
      </w:r>
    </w:p>
    <w:p>
      <w:pPr>
        <w:pStyle w:val="18"/>
        <w:keepNext w:val="0"/>
        <w:keepLines w:val="0"/>
        <w:widowControl/>
        <w:suppressLineNumbers w:val="0"/>
        <w:ind w:left="0" w:firstLine="567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8.</w:t>
      </w:r>
      <w:r>
        <w:rPr>
          <w:rFonts w:hint="default" w:ascii="Times New Roman" w:hAnsi="Times New Roman" w:cs="Times New Roman"/>
          <w:sz w:val="14"/>
          <w:szCs w:val="14"/>
          <w:lang w:val="ru"/>
        </w:rPr>
        <w:t xml:space="preserve">    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На денежные средства, поступившие на счет ЭТП в качестве задатка, до момента их возврата либо перечисления собственнику имущества проценты согласно ст. 317.1 ГК РФ не начисляются.</w:t>
      </w:r>
    </w:p>
    <w:p>
      <w:pPr>
        <w:pStyle w:val="18"/>
        <w:keepNext w:val="0"/>
        <w:keepLines w:val="0"/>
        <w:widowControl/>
        <w:suppressLineNumbers w:val="0"/>
        <w:ind w:left="0" w:firstLine="567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9.</w:t>
      </w:r>
      <w:r>
        <w:rPr>
          <w:rFonts w:hint="default" w:ascii="Times New Roman" w:hAnsi="Times New Roman" w:cs="Times New Roman"/>
          <w:sz w:val="14"/>
          <w:szCs w:val="14"/>
          <w:lang w:val="ru"/>
        </w:rPr>
        <w:t xml:space="preserve">    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Исполнение обязанности по внесению суммы задатка третьими лицами не допускается. От имени Претендента и за его счет задаток может быть внесен Поверенным либо Агентом Претендента. При этом Претендент обязан отправить соответствующие договоры, подтверждающие полномочия таких лиц на внесение задатка от имени и за счет Претендента.</w:t>
      </w:r>
    </w:p>
    <w:p>
      <w:pPr>
        <w:pStyle w:val="18"/>
        <w:keepNext w:val="0"/>
        <w:keepLines w:val="0"/>
        <w:widowControl/>
        <w:suppressLineNumbers w:val="0"/>
        <w:ind w:left="0" w:firstLine="567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10.</w:t>
      </w:r>
      <w:r>
        <w:rPr>
          <w:rFonts w:hint="default" w:ascii="Times New Roman" w:hAnsi="Times New Roman" w:cs="Times New Roman"/>
          <w:sz w:val="14"/>
          <w:szCs w:val="14"/>
          <w:lang w:val="ru"/>
        </w:rPr>
        <w:t xml:space="preserve">    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Распоряжение суммой задатка по итогам проведения торговой процедуры осуществляется в следующем порядке:</w:t>
      </w:r>
    </w:p>
    <w:p>
      <w:pPr>
        <w:pStyle w:val="18"/>
        <w:keepNext w:val="0"/>
        <w:keepLines w:val="0"/>
        <w:widowControl/>
        <w:suppressLineNumbers w:val="0"/>
        <w:ind w:left="0" w:firstLine="567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10.1.</w:t>
      </w:r>
      <w:r>
        <w:rPr>
          <w:rFonts w:hint="default" w:ascii="Times New Roman" w:hAnsi="Times New Roman" w:cs="Times New Roman"/>
          <w:sz w:val="14"/>
          <w:szCs w:val="14"/>
          <w:lang w:val="ru"/>
        </w:rPr>
        <w:t xml:space="preserve">   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 Если Претендент, внесший задаток на счет ЭТП, признан победителем торгов, то ЭТП обязана перечислить сумму задатка на счет продавца имущества, с которым победитель торгов заключает договор купли-продажи имущества. ЭТП обязана перечислить сумму задатка в течение 5 банковских дней со дня подписания Организатором торгов Протокола об итогах проведения торгов, срок начинает исчисляться со следующего рабочего дня после даты подписания Протокола об итогах проведения торгов. Сумма задатка засчитывается в счет оплаты имущества, приобретенного на торгах.</w:t>
      </w:r>
    </w:p>
    <w:p>
      <w:pPr>
        <w:pStyle w:val="18"/>
        <w:keepNext w:val="0"/>
        <w:keepLines w:val="0"/>
        <w:widowControl/>
        <w:suppressLineNumbers w:val="0"/>
        <w:ind w:left="0" w:firstLine="567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10.2.</w:t>
      </w:r>
      <w:r>
        <w:rPr>
          <w:rFonts w:hint="default" w:ascii="Times New Roman" w:hAnsi="Times New Roman" w:cs="Times New Roman"/>
          <w:sz w:val="14"/>
          <w:szCs w:val="14"/>
          <w:lang w:val="ru"/>
        </w:rPr>
        <w:t xml:space="preserve">   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 Если Претендент не признан не признан победителем торгов, то ЭТП обязана в течение 5 банковских дней возвратить на счет Претендента, указанный в заявке на участие в торгах, после подписания Организатором торгов Протокола об итогах проведения торгов. Исчисление срока начинается на следующий  после подписания рабочий день. При этом претендент обязан своевременно в пределах 5 дней направить в адрес ЭТП заявление о возврате задатка с указанием актуальных банковских реквизитов. При отсутствии такой заявке ЭТП вправе не перечислять сумму задатка до поступления такого распорядительного письма. В этом случае проценты согласно ст. 317.1 ГК РФ не начисляются, положения ст.395 ГК РФ не применяются в отношении ЭТП до поступления распорядительного письма от имени Претендента.</w:t>
      </w:r>
    </w:p>
    <w:p>
      <w:pPr>
        <w:pStyle w:val="18"/>
        <w:keepNext w:val="0"/>
        <w:keepLines w:val="0"/>
        <w:widowControl/>
        <w:suppressLineNumbers w:val="0"/>
        <w:ind w:left="0" w:firstLine="567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10.3.</w:t>
      </w:r>
      <w:r>
        <w:rPr>
          <w:rFonts w:hint="default" w:ascii="Times New Roman" w:hAnsi="Times New Roman" w:cs="Times New Roman"/>
          <w:sz w:val="14"/>
          <w:szCs w:val="14"/>
          <w:lang w:val="ru"/>
        </w:rPr>
        <w:t xml:space="preserve">   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 В случае отмены торгов, ЭТП обязана возвратить сумму задатка в течение 5 банковских дней с момента подписания Организатором торгов распорядительного документа об отмене торгов.</w:t>
      </w:r>
    </w:p>
    <w:p>
      <w:pPr>
        <w:pStyle w:val="18"/>
        <w:keepNext w:val="0"/>
        <w:keepLines w:val="0"/>
        <w:widowControl/>
        <w:suppressLineNumbers w:val="0"/>
        <w:ind w:left="0" w:firstLine="567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10.4.</w:t>
      </w:r>
      <w:r>
        <w:rPr>
          <w:rFonts w:hint="default" w:ascii="Times New Roman" w:hAnsi="Times New Roman" w:cs="Times New Roman"/>
          <w:sz w:val="14"/>
          <w:szCs w:val="14"/>
          <w:lang w:val="ru"/>
        </w:rPr>
        <w:t xml:space="preserve">   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 В случае признания торгов несостоявшимися, ЭТП обязана возвратить сумму задатка Претенденту в течение 5 банковских дней с даты подписания Организатором торгов Протокола о признании торгов несостоявшимися.</w:t>
      </w:r>
    </w:p>
    <w:p>
      <w:pPr>
        <w:pStyle w:val="18"/>
        <w:keepNext w:val="0"/>
        <w:keepLines w:val="0"/>
        <w:widowControl/>
        <w:suppressLineNumbers w:val="0"/>
        <w:ind w:left="0" w:firstLine="567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11.</w:t>
      </w:r>
      <w:r>
        <w:rPr>
          <w:rFonts w:hint="default" w:ascii="Times New Roman" w:hAnsi="Times New Roman" w:cs="Times New Roman"/>
          <w:sz w:val="14"/>
          <w:szCs w:val="14"/>
          <w:lang w:val="ru"/>
        </w:rPr>
        <w:t xml:space="preserve">    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Если Претендент, признанный победителем торгов, уклонился либо отказался от подписания договора купли-продажи по результатам проведения торгов, то внесенный задаток не возвращается Претенденту и подлежит перечислению на счет собственника Имущества, реализуемого на торгах.</w:t>
      </w:r>
    </w:p>
    <w:p>
      <w:pPr>
        <w:pStyle w:val="18"/>
        <w:keepNext w:val="0"/>
        <w:keepLines w:val="0"/>
        <w:widowControl/>
        <w:suppressLineNumbers w:val="0"/>
        <w:ind w:left="0" w:firstLine="567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12.</w:t>
      </w:r>
      <w:r>
        <w:rPr>
          <w:rFonts w:hint="default" w:ascii="Times New Roman" w:hAnsi="Times New Roman" w:cs="Times New Roman"/>
          <w:sz w:val="14"/>
          <w:szCs w:val="14"/>
          <w:lang w:val="ru"/>
        </w:rPr>
        <w:t xml:space="preserve">    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Возврат суммы задатка Претенденту осуществляется путем перечисления суммы задатка на счет Претендента, указанный в заявке Претендента. При этом сумма банковских расходов  ЭТП, возникающих при возврате задатка Претенденту в банке, обслуживающем счет ЭТП, несет Претендент путем удержания банковской комиссии из суммы задатка согласно расценкам банка.</w:t>
      </w:r>
    </w:p>
    <w:p>
      <w:pPr>
        <w:pStyle w:val="18"/>
        <w:keepNext w:val="0"/>
        <w:keepLines w:val="0"/>
        <w:widowControl/>
        <w:suppressLineNumbers w:val="0"/>
        <w:ind w:left="0" w:firstLine="567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13.</w:t>
      </w:r>
      <w:r>
        <w:rPr>
          <w:rFonts w:hint="default" w:ascii="Times New Roman" w:hAnsi="Times New Roman" w:cs="Times New Roman"/>
          <w:sz w:val="14"/>
          <w:szCs w:val="14"/>
          <w:lang w:val="ru"/>
        </w:rPr>
        <w:t xml:space="preserve">    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Все споры и разногласия, возникающие в процессе исполнения настоящего договора, стороны стремятся урегулировать путем переговоров. В случае не достижения договоренностей, спор подлежит рассмотрению в Арбитражном суде Ростовской области.</w:t>
      </w:r>
    </w:p>
    <w:p>
      <w:pPr>
        <w:pStyle w:val="18"/>
        <w:keepNext w:val="0"/>
        <w:keepLines w:val="0"/>
        <w:widowControl/>
        <w:suppressLineNumbers w:val="0"/>
        <w:ind w:left="0" w:firstLine="567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14.</w:t>
      </w:r>
      <w:r>
        <w:rPr>
          <w:rFonts w:hint="default" w:ascii="Times New Roman" w:hAnsi="Times New Roman" w:cs="Times New Roman"/>
          <w:sz w:val="14"/>
          <w:szCs w:val="14"/>
          <w:lang w:val="ru"/>
        </w:rPr>
        <w:t xml:space="preserve">    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Факт оплаты суммы задатка на участие в торгах подтверждает согласие и принятие в полном объеме Претендентом условий настоящего договора.</w:t>
      </w:r>
    </w:p>
    <w:p>
      <w:pPr>
        <w:pStyle w:val="19"/>
        <w:keepNext w:val="0"/>
        <w:keepLines w:val="0"/>
        <w:widowControl/>
        <w:suppressLineNumbers w:val="0"/>
        <w:ind w:left="920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 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cs="Times New Roman"/>
          <w:b/>
          <w:sz w:val="24"/>
          <w:szCs w:val="24"/>
          <w:lang w:val="ru"/>
        </w:rPr>
        <w:t>Реквизиты Сторон</w:t>
      </w:r>
    </w:p>
    <w:tbl>
      <w:tblPr>
        <w:tblW w:w="0" w:type="auto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39"/>
        <w:gridCol w:w="524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9" w:type="dxa"/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afterAutospacing="0" w:line="276" w:lineRule="auto"/>
              <w:jc w:val="center"/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bdr w:val="none" w:color="auto" w:sz="0" w:space="0"/>
                <w:lang w:val="ru"/>
              </w:rPr>
              <w:t>Электронная торговая площадка</w:t>
            </w:r>
          </w:p>
        </w:tc>
        <w:tc>
          <w:tcPr>
            <w:tcW w:w="5240" w:type="dxa"/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afterAutospacing="0" w:line="240" w:lineRule="auto"/>
              <w:jc w:val="center"/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bdr w:val="none" w:color="auto" w:sz="0" w:space="0"/>
                <w:lang w:val="ru"/>
              </w:rPr>
              <w:t>            Претендент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9" w:type="dxa"/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afterAutospacing="0" w:line="276" w:lineRule="auto"/>
              <w:jc w:val="both"/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bdr w:val="none" w:color="auto" w:sz="0" w:space="0"/>
                <w:lang w:val="ru"/>
              </w:rPr>
              <w:t>ООО "ТендерСтандарт"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20" w:right="0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"/>
              </w:rPr>
              <w:t>344022, г. Ростов-на-Дону, ул. Пушкинская, д. 104/32, оф. 61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20" w:right="0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"/>
              </w:rPr>
              <w:t>ИНН 6163109679 КПП 616301001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20" w:right="0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"/>
              </w:rPr>
              <w:t>ОГРН 1116195010580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20" w:right="0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"/>
              </w:rPr>
              <w:t>"ТАГАНРОГБАНК" (ПАО)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20" w:right="0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"/>
              </w:rPr>
              <w:t>р/с 40702810800000000753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20" w:right="0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"/>
              </w:rPr>
              <w:t>к/с 30101810960150000946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20" w:right="0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"/>
              </w:rPr>
              <w:t>БИК 046015946</w:t>
            </w:r>
          </w:p>
          <w:p>
            <w:pPr>
              <w:keepNext w:val="0"/>
              <w:keepLines w:val="0"/>
              <w:widowControl/>
              <w:suppressLineNumbers w:val="0"/>
              <w:spacing w:after="0" w:afterAutospacing="0" w:line="276" w:lineRule="auto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ru"/>
              </w:rPr>
              <w:t> </w:t>
            </w:r>
          </w:p>
        </w:tc>
        <w:tc>
          <w:tcPr>
            <w:tcW w:w="4539" w:type="dxa"/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20" w:right="0"/>
            </w:pPr>
          </w:p>
          <w:p>
            <w:pPr>
              <w:keepNext w:val="0"/>
              <w:keepLines w:val="0"/>
              <w:widowControl/>
              <w:suppressLineNumbers w:val="0"/>
              <w:spacing w:after="0" w:afterAutospacing="0" w:line="276" w:lineRule="auto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ru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9" w:type="dxa"/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afterAutospacing="0" w:line="240" w:lineRule="auto"/>
              <w:jc w:val="both"/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bdr w:val="none" w:color="auto" w:sz="0" w:space="0"/>
                <w:lang w:val="ru"/>
              </w:rPr>
              <w:t xml:space="preserve">Генеральный Директор </w:t>
            </w:r>
          </w:p>
          <w:p>
            <w:pPr>
              <w:keepNext w:val="0"/>
              <w:keepLines w:val="0"/>
              <w:widowControl/>
              <w:suppressLineNumbers w:val="0"/>
              <w:spacing w:after="0" w:afterAutospacing="0" w:line="240" w:lineRule="auto"/>
              <w:jc w:val="both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ru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after="0" w:afterAutospacing="0" w:line="240" w:lineRule="auto"/>
              <w:jc w:val="both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ru"/>
              </w:rPr>
              <w:t>___________________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bdr w:val="none" w:color="auto" w:sz="0" w:space="0"/>
                <w:lang w:val="ru"/>
              </w:rPr>
              <w:t>/Горбатенко О.В.</w:t>
            </w:r>
          </w:p>
        </w:tc>
        <w:tc>
          <w:tcPr>
            <w:tcW w:w="5240" w:type="dxa"/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afterAutospacing="0" w:line="240" w:lineRule="auto"/>
              <w:jc w:val="both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ru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after="0" w:afterAutospacing="0" w:line="240" w:lineRule="auto"/>
              <w:jc w:val="both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ru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after="0" w:afterAutospacing="0" w:line="240" w:lineRule="auto"/>
              <w:jc w:val="both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ru"/>
              </w:rPr>
              <w:t>___________________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bdr w:val="none" w:color="auto" w:sz="0" w:space="0"/>
                <w:lang w:val="ru"/>
              </w:rPr>
              <w:t>/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9" w:type="dxa"/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afterAutospacing="0" w:line="240" w:lineRule="auto"/>
              <w:jc w:val="both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ru"/>
              </w:rPr>
              <w:t> </w:t>
            </w:r>
          </w:p>
        </w:tc>
        <w:tc>
          <w:tcPr>
            <w:tcW w:w="5240" w:type="dxa"/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afterAutospacing="0" w:line="240" w:lineRule="auto"/>
              <w:jc w:val="both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ru"/>
              </w:rPr>
              <w:t> </w:t>
            </w:r>
          </w:p>
        </w:tc>
      </w:tr>
    </w:tbl>
    <w:p>
      <w:pPr>
        <w:pStyle w:val="15"/>
        <w:keepNext w:val="0"/>
        <w:keepLines w:val="0"/>
        <w:widowControl/>
        <w:suppressLineNumbers w:val="0"/>
        <w:ind w:left="920"/>
        <w:jc w:val="center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 </w:t>
      </w:r>
    </w:p>
    <w:p>
      <w:pPr>
        <w:pStyle w:val="8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 </w:t>
      </w:r>
    </w:p>
    <w:sectPr>
      <w:pgSz w:w="11900" w:h="16820"/>
      <w:pgMar w:top="700" w:right="700" w:bottom="980" w:left="14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F279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SimSun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before="0" w:beforeAutospacing="0" w:after="200" w:afterAutospacing="0" w:line="276" w:lineRule="auto"/>
      <w:ind w:left="0" w:right="0"/>
      <w:jc w:val="left"/>
    </w:pPr>
    <w:rPr>
      <w:rFonts w:hint="default" w:ascii="Calibri" w:hAnsi="Calibri" w:cs="Calibri" w:eastAsiaTheme="minorEastAsia"/>
      <w:kern w:val="0"/>
      <w:sz w:val="22"/>
      <w:szCs w:val="22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 w:line="240" w:lineRule="auto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 w:line="240" w:lineRule="auto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 w:line="240" w:lineRule="auto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 w:line="240" w:lineRule="auto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 w:line="240" w:lineRule="auto"/>
      <w:jc w:val="left"/>
    </w:pPr>
    <w:rPr>
      <w:rFonts w:hint="eastAsia" w:ascii="SimSun" w:hAnsi="SimSun" w:eastAsia="SimSun" w:cs="SimSun"/>
      <w:b/>
      <w:bCs/>
      <w:i/>
      <w:i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 w:line="240" w:lineRule="auto"/>
      <w:jc w:val="left"/>
    </w:pPr>
    <w:rPr>
      <w:rFonts w:hint="eastAsia" w:ascii="SimSun" w:hAnsi="SimSun" w:eastAsia="SimSun" w:cs="SimSun"/>
      <w:b/>
      <w:bCs/>
      <w:kern w:val="0"/>
      <w:sz w:val="14"/>
      <w:szCs w:val="1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1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rmal (Web)"/>
    <w:basedOn w:val="1"/>
    <w:uiPriority w:val="0"/>
    <w:pPr>
      <w:spacing w:before="0" w:beforeAutospacing="1" w:after="0" w:afterAutospacing="1" w:line="240" w:lineRule="auto"/>
      <w:ind w:left="0" w:right="0"/>
      <w:jc w:val="left"/>
    </w:pPr>
    <w:rPr>
      <w:rFonts w:ascii="SimSun" w:hAnsi="SimSun" w:cs="SimSun"/>
      <w:kern w:val="0"/>
      <w:sz w:val="24"/>
      <w:szCs w:val="24"/>
      <w:lang w:val="en-US" w:eastAsia="zh-CN" w:bidi="ar"/>
    </w:rPr>
  </w:style>
  <w:style w:type="paragraph" w:styleId="9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1">
    <w:name w:val="FollowedHyperlink"/>
    <w:uiPriority w:val="0"/>
    <w:rPr>
      <w:color w:val="800080"/>
      <w:u w:val="single"/>
    </w:rPr>
  </w:style>
  <w:style w:type="character" w:styleId="12">
    <w:name w:val="Hyperlink"/>
    <w:uiPriority w:val="0"/>
    <w:rPr>
      <w:color w:val="0000FF"/>
      <w:u w:val="single"/>
    </w:rPr>
  </w:style>
  <w:style w:type="paragraph" w:customStyle="1" w:styleId="14">
    <w:name w:val="msochpdefault"/>
    <w:basedOn w:val="1"/>
    <w:uiPriority w:val="0"/>
    <w:pPr>
      <w:spacing w:after="0" w:line="240" w:lineRule="auto"/>
      <w:jc w:val="left"/>
    </w:pPr>
    <w:rPr>
      <w:rFonts w:hint="default" w:ascii="Calibri" w:hAnsi="Calibri" w:cs="Calibri"/>
      <w:kern w:val="0"/>
      <w:sz w:val="24"/>
      <w:szCs w:val="24"/>
      <w:lang w:val="en-US" w:eastAsia="zh-CN" w:bidi="ar"/>
    </w:rPr>
  </w:style>
  <w:style w:type="paragraph" w:customStyle="1" w:styleId="15">
    <w:name w:val="msolistparagraph"/>
    <w:basedOn w:val="1"/>
    <w:uiPriority w:val="0"/>
    <w:pPr>
      <w:spacing w:before="0" w:beforeAutospacing="0" w:after="200" w:afterAutospacing="0" w:line="276" w:lineRule="auto"/>
      <w:ind w:left="720" w:right="0"/>
      <w:jc w:val="left"/>
    </w:pPr>
    <w:rPr>
      <w:rFonts w:hint="default" w:ascii="Calibri" w:hAnsi="Calibri" w:cs="Calibri"/>
      <w:kern w:val="0"/>
      <w:sz w:val="22"/>
      <w:szCs w:val="22"/>
      <w:lang w:val="en-US" w:eastAsia="zh-CN" w:bidi="ar"/>
    </w:rPr>
  </w:style>
  <w:style w:type="paragraph" w:customStyle="1" w:styleId="16">
    <w:name w:val="msolistparagraphcxspfirst"/>
    <w:basedOn w:val="1"/>
    <w:uiPriority w:val="0"/>
    <w:pPr>
      <w:spacing w:before="0" w:beforeAutospacing="0" w:after="0" w:afterAutospacing="0" w:line="276" w:lineRule="auto"/>
      <w:ind w:left="720" w:right="0"/>
      <w:jc w:val="left"/>
    </w:pPr>
    <w:rPr>
      <w:rFonts w:hint="default" w:ascii="Calibri" w:hAnsi="Calibri" w:cs="Calibri"/>
      <w:kern w:val="0"/>
      <w:sz w:val="22"/>
      <w:szCs w:val="22"/>
      <w:lang w:val="en-US" w:eastAsia="zh-CN" w:bidi="ar"/>
    </w:rPr>
  </w:style>
  <w:style w:type="paragraph" w:customStyle="1" w:styleId="17">
    <w:name w:val="msopapdefault"/>
    <w:basedOn w:val="1"/>
    <w:uiPriority w:val="0"/>
    <w:pPr>
      <w:spacing w:after="200" w:afterAutospacing="0" w:line="276" w:lineRule="auto"/>
      <w:jc w:val="left"/>
    </w:pPr>
    <w:rPr>
      <w:rFonts w:ascii="SimSun" w:hAnsi="SimSun" w:cs="SimSun"/>
      <w:kern w:val="0"/>
      <w:sz w:val="24"/>
      <w:szCs w:val="24"/>
      <w:lang w:val="en-US" w:eastAsia="zh-CN" w:bidi="ar"/>
    </w:rPr>
  </w:style>
  <w:style w:type="paragraph" w:customStyle="1" w:styleId="18">
    <w:name w:val="msolistparagraphcxspmiddle"/>
    <w:basedOn w:val="1"/>
    <w:uiPriority w:val="0"/>
    <w:pPr>
      <w:spacing w:before="0" w:beforeAutospacing="0" w:after="0" w:afterAutospacing="0" w:line="276" w:lineRule="auto"/>
      <w:ind w:left="720" w:right="0"/>
      <w:jc w:val="left"/>
    </w:pPr>
    <w:rPr>
      <w:rFonts w:hint="default" w:ascii="Calibri" w:hAnsi="Calibri" w:cs="Calibri"/>
      <w:kern w:val="0"/>
      <w:sz w:val="22"/>
      <w:szCs w:val="22"/>
      <w:lang w:val="en-US" w:eastAsia="zh-CN" w:bidi="ar"/>
    </w:rPr>
  </w:style>
  <w:style w:type="paragraph" w:customStyle="1" w:styleId="19">
    <w:name w:val="msolistparagraphcxsplast"/>
    <w:basedOn w:val="1"/>
    <w:uiPriority w:val="0"/>
    <w:pPr>
      <w:spacing w:before="0" w:beforeAutospacing="0" w:after="200" w:afterAutospacing="0" w:line="276" w:lineRule="auto"/>
      <w:ind w:left="720" w:right="0"/>
      <w:jc w:val="left"/>
    </w:pPr>
    <w:rPr>
      <w:rFonts w:hint="default" w:ascii="Calibri" w:hAnsi="Calibri" w:cs="Calibri"/>
      <w:kern w:val="0"/>
      <w:sz w:val="22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Office_11.2.0.9144_F1E327BC-269C-435d-A152-05C5408002CA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2020-02-10T10:46:31Z</dcterms:created>
  <dc:creator>Николай</dc:creator>
  <cp:lastModifiedBy>Николай</cp:lastModifiedBy>
  <dcterms:modified xsi:type="dcterms:W3CDTF">2020-02-10T10:52:06Z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1049-11.2.0.9144</vt:lpwstr>
  </property>
</Properties>
</file>