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Договор о задатке (договор присоединения) №_____</w:t>
      </w:r>
    </w:p>
    <w:p w:rsidR="00000000" w:rsidDel="00000000" w:rsidP="00000000" w:rsidRDefault="00000000" w:rsidRPr="00000000" w14:paraId="00000002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«____»________________20___ г.</w:t>
      </w:r>
    </w:p>
    <w:p w:rsidR="00000000" w:rsidDel="00000000" w:rsidP="00000000" w:rsidRDefault="00000000" w:rsidRPr="00000000" w14:paraId="00000004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before="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ООО «ТендерСтандарт», именуемое в дальнейшем «Электронная торговая площадка» (ЭТП), в лице генерального директора Корзун Лилии Евгеньевны, действующей на основании Устава, с одной стороны, и ________________________________________________ _______________________________________________________, именуемый (ая) в дальнейшем «Претендент», в лице _____________________________________________________________, действующего на основании _________________, с другой стороны, заключили настоящий договор о нижеследующем: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Претендент на участие в торгах №_________ по продаже имущества, принадлежащего _________________________________________________, присоединился к настоящему договору в соответствии с требованиями ст.ст. 380,381,428 ГК РФ, Регламенту ЭТП ООО «ТендерСтандарт», путем подачи установленной ФЗ «О несостоятельности (банкротстве)» заявки на участие в торгах №______________.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соответствии с условиями настоящего договора Претендент для участия в торгах №_________  на ЭТП ООО «ТендерСтандарт» по адресу: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http://tenderstandart.ru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по продаже имущества, принадлежащего_______________________________________________, проводимых согласно объявления №_________________, опубликованного на ЕФРСБ «___»_____________20___ г. (далее – Имущество, Лот №______), оплачивает денежные средства в размере ______% от начальной цены Лота – «Задаток» в сумме ____________________________________________________ рублей путем перечисления денежных средств на расчетный счет ЭТП по следующим реквизитам: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Получатель: ООО «ТендерСтандарт»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ИНН 6163109679 КПП 770401001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р/с40702810800000000753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банке ПАО "ТАГАНРОГБАНК"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к/с 30101810960150000946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БИК 046015946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Оплата задатка Претендента на расчетный счет ЭТП признается сторонами заключением настоящего договора на оговоренных в нем условиях путем присоединения в порядке ст.428 ГК РФ.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1418"/>
        </w:tabs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Задаток в полном объеме должен быть внесен Претендентом не позднее даты, указанной в сообщении организатора торгов о продаже Имущества должника ______________________________________ и должен быть зачислен на расчетный счет ЭТП, указанный в п. 2 настоящего договора, не позднее даты, указанной в сообщении о продаже. Задаток считается оплаченным в соответствии с условиями настоящего договора с момента зачисления денежных средств на расчетный счет ЭТП.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Если сумма задатка от Претендента не была зачислена на расчетный счет ЭТП, указанный в сообщении и настоящем договоре, на дату, указанную в сообщении о продаже Имущества, то Претендент не допускается к участию в торгах. Представление Претендентом платежных документов с отметкой об исполнении при этом во внимание для принятия решения о признании Претендента Участником торгов не принимается.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Договор о задатке подписывается Претендентом электронной подписью Претендента. Претендент вправе направить задаток  на счет ЭТП, указанный в настоящем договоре, без подписания настоящего Договора электронной цифровой подписью Претендента, в этом случае перечисление задатка в полном размере Претендентом в соответствии с сообщением о проведении торгов считается акцептом размещенного на электронной площадке договора о задатке. Задаток в соответствии со ст.380, 381 ГК РФ выступает обеспечением исполнения обязательств Претендента по заключению по итогам торгов договора купли-продажи и оплате цены продажи Имущества (Лота), определенной по итогам торгов, в случае признания Претендента победителем торгов, при этом на сумму задатка распространяются положения ст. 381 ГК РФ в полном объеме.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Претендент обязан указать в платежном документе в графе «назначение платежа» ссылку на дату проведения торгов, номер торговой процедуры, номер Лота согласно сообщению о продаже Имущества, опубликованному организатором торгов.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денежные средства, поступившие на счет ЭТП в качестве задатка, до момента их возврата либо перечисления собственнику имущества проценты согласно ст. 317.1 ГК РФ не начисляются.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Исполнение обязанности по внесению суммы задатка третьими лицами не допускается. От имени Претендента и за его счет задаток может быть внесен Поверенным либо Агентом Претендента. При этом Претендент обязан отправить соответствующие договоры, подтверждающие полномочия таких лиц на внесение задатка от имени и за счет Претендента.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Распоряжение суммой задатка по итогам проведения торговой процедуры осуществляется в следующем порядке: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993"/>
          <w:tab w:val="left" w:leader="none" w:pos="1134"/>
        </w:tabs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Если Претендент, внесший задаток на счет ЭТП, признан победителем торгов, то ЭТП обязана перечислить сумму задатка на счет продавца имущества, с которым победитель торгов заключает договор купли-продажи имущества. ЭТП обязана перечислить сумму задатка в течение 5 банковских дней со дня подписания Организатором торгов Протокола об итогах проведения торгов, срок начинает исчисляться со следующего рабочего дня после даты подписания Протокола об итогах проведения торгов. Сумма задатка засчитывается в счет оплаты имущества, приобретенного на торгах.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993"/>
          <w:tab w:val="left" w:leader="none" w:pos="1134"/>
        </w:tabs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Если Претендент не признан не признан победителем торгов, то ЭТП обязана в течение 5 банковских дней возвратить на счет Претендента, указанный в заявке на участие в торгах, после подписания Организатором торгов Протокола об итогах проведения торгов. Исчисление срока начинается на следующий  после подписания рабочий день. При этом претендент обязан своевременно в пределах 5 дней направить в адрес ЭТП заявление о возврате задатка с указанием актуальных банковских реквизитов. При отсутствии такой заявке ЭТП вправе не перечислять сумму задатка до поступления такого распорядительного письма. В этом случае проценты согласно ст. 317.1 ГК РФ не начисляются, положения ст.395 ГК РФ не применяются в отношении ЭТП до поступления распорядительного письма от имени Претендента.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993"/>
          <w:tab w:val="left" w:leader="none" w:pos="1134"/>
        </w:tabs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В случае отмены торгов, ЭТП обязана возвратить сумму задатка в течение 5 банковских дней с момента подписания Организатором торгов распорядительного документа об отмене торгов.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993"/>
          <w:tab w:val="left" w:leader="none" w:pos="1134"/>
        </w:tabs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В случае признания торгов несостоявшимися, ЭТП обязана возвратить сумму задатка Претенденту в течение 5 банковских дней с даты подписания Организатором торгов Протокола о признании торгов несостоявшимися.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993"/>
          <w:tab w:val="left" w:leader="none" w:pos="1134"/>
        </w:tabs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Если Претендент, признанный победителем торгов, уклонился либо отказался от подписания договора купли-продажи по результатам проведения торгов, то внесенный задаток не возвращается Претенденту и подлежит перечислению на счет собственника Имущества, реализуемого на торгах.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993"/>
          <w:tab w:val="left" w:leader="none" w:pos="1134"/>
        </w:tabs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Возврат суммы задатка Претенденту осуществляется путем перечисления суммы задатка на счет Претендента, указанный в заявке Претендента. При этом сумма банковских расходов  ЭТП, возникающих при возврате задатка Претенденту в банке, обслуживающем счет ЭТП, несет Претендент путем удержания банковской комиссии из суммы задатка согласно расценкам банка.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993"/>
          <w:tab w:val="left" w:leader="none" w:pos="1134"/>
        </w:tabs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Все споры и разногласия, возникающие в процессе исполнения настоящего договора, стороны стремятся урегулировать путем переговоров. В случае не достижения договоренностей, спор подлежит рассмотрению в Арбитражном суде Ростовской области.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993"/>
          <w:tab w:val="left" w:leader="none" w:pos="1134"/>
        </w:tabs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Факт оплаты суммы задатка на участие в торгах подтверждает согласие и принятие в полном объеме Претендентом условий настоящего договора.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200" w:before="0" w:line="276" w:lineRule="auto"/>
        <w:ind w:left="92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851"/>
        </w:tabs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Реквизиты Сторон</w:t>
      </w:r>
    </w:p>
    <w:tbl>
      <w:tblPr>
        <w:tblStyle w:val="Table1"/>
        <w:tblW w:w="9775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6"/>
        <w:gridCol w:w="5239"/>
        <w:tblGridChange w:id="0">
          <w:tblGrid>
            <w:gridCol w:w="4536"/>
            <w:gridCol w:w="523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widowControl w:val="1"/>
              <w:spacing w:after="0" w:before="0" w:line="276" w:lineRule="auto"/>
              <w:ind w:left="-18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Электронная торговая площадка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1">
            <w:pPr>
              <w:widowControl w:val="1"/>
              <w:spacing w:after="0" w:before="0" w:line="240" w:lineRule="auto"/>
              <w:ind w:left="-18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ab/>
              <w:t xml:space="preserve">Претендент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2">
            <w:pPr>
              <w:widowControl w:val="1"/>
              <w:spacing w:after="0" w:before="0"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ООО «ТендерСтандарт»</w:t>
            </w:r>
          </w:p>
          <w:p w:rsidR="00000000" w:rsidDel="00000000" w:rsidP="00000000" w:rsidRDefault="00000000" w:rsidRPr="00000000" w14:paraId="00000023">
            <w:pPr>
              <w:widowControl w:val="1"/>
              <w:tabs>
                <w:tab w:val="left" w:leader="none" w:pos="851"/>
                <w:tab w:val="left" w:leader="none" w:pos="993"/>
                <w:tab w:val="left" w:leader="none" w:pos="1134"/>
              </w:tabs>
              <w:spacing w:after="0" w:before="0" w:line="276" w:lineRule="auto"/>
              <w:ind w:left="37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color w:val="000000"/>
                <w:sz w:val="24"/>
                <w:szCs w:val="24"/>
                <w:rtl w:val="0"/>
              </w:rPr>
              <w:t xml:space="preserve">121069, г. Москва, вн. тер.г. мо Арбат, ул. Поварская, д.10, стр.1, помещ. 22/1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ИНН 6163109679 КПП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color w:val="000000"/>
                <w:sz w:val="24"/>
                <w:szCs w:val="24"/>
                <w:rtl w:val="0"/>
              </w:rPr>
              <w:t xml:space="preserve">770401001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1"/>
              <w:tabs>
                <w:tab w:val="left" w:leader="none" w:pos="851"/>
                <w:tab w:val="left" w:leader="none" w:pos="993"/>
                <w:tab w:val="left" w:leader="none" w:pos="1134"/>
              </w:tabs>
              <w:spacing w:after="0" w:before="0" w:line="276" w:lineRule="auto"/>
              <w:ind w:left="37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ОГРН 1116195010580</w:t>
            </w:r>
          </w:p>
          <w:p w:rsidR="00000000" w:rsidDel="00000000" w:rsidP="00000000" w:rsidRDefault="00000000" w:rsidRPr="00000000" w14:paraId="00000026">
            <w:pPr>
              <w:widowControl w:val="1"/>
              <w:tabs>
                <w:tab w:val="left" w:leader="none" w:pos="851"/>
                <w:tab w:val="left" w:leader="none" w:pos="993"/>
                <w:tab w:val="left" w:leader="none" w:pos="1134"/>
              </w:tabs>
              <w:spacing w:after="0" w:before="0" w:line="276" w:lineRule="auto"/>
              <w:ind w:left="37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ПАО "ТАГАНРОГБАНК"</w:t>
            </w:r>
          </w:p>
          <w:p w:rsidR="00000000" w:rsidDel="00000000" w:rsidP="00000000" w:rsidRDefault="00000000" w:rsidRPr="00000000" w14:paraId="00000027">
            <w:pPr>
              <w:widowControl w:val="1"/>
              <w:tabs>
                <w:tab w:val="left" w:leader="none" w:pos="851"/>
                <w:tab w:val="left" w:leader="none" w:pos="993"/>
                <w:tab w:val="left" w:leader="none" w:pos="1134"/>
              </w:tabs>
              <w:spacing w:after="0" w:before="0" w:line="276" w:lineRule="auto"/>
              <w:ind w:left="37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р/с 40702810800000000753</w:t>
            </w:r>
          </w:p>
          <w:p w:rsidR="00000000" w:rsidDel="00000000" w:rsidP="00000000" w:rsidRDefault="00000000" w:rsidRPr="00000000" w14:paraId="00000028">
            <w:pPr>
              <w:widowControl w:val="1"/>
              <w:tabs>
                <w:tab w:val="left" w:leader="none" w:pos="851"/>
                <w:tab w:val="left" w:leader="none" w:pos="993"/>
                <w:tab w:val="left" w:leader="none" w:pos="1134"/>
              </w:tabs>
              <w:spacing w:after="0" w:before="0" w:line="276" w:lineRule="auto"/>
              <w:ind w:left="37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к/с 30101810960150000946</w:t>
            </w:r>
          </w:p>
          <w:p w:rsidR="00000000" w:rsidDel="00000000" w:rsidP="00000000" w:rsidRDefault="00000000" w:rsidRPr="00000000" w14:paraId="00000029">
            <w:pPr>
              <w:widowControl w:val="1"/>
              <w:tabs>
                <w:tab w:val="left" w:leader="none" w:pos="851"/>
                <w:tab w:val="left" w:leader="none" w:pos="993"/>
                <w:tab w:val="left" w:leader="none" w:pos="1134"/>
              </w:tabs>
              <w:spacing w:after="0" w:before="0" w:line="276" w:lineRule="auto"/>
              <w:ind w:left="37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БИК 046015946</w:t>
            </w:r>
          </w:p>
          <w:p w:rsidR="00000000" w:rsidDel="00000000" w:rsidP="00000000" w:rsidRDefault="00000000" w:rsidRPr="00000000" w14:paraId="0000002A">
            <w:pPr>
              <w:widowControl w:val="1"/>
              <w:spacing w:after="0" w:before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B">
            <w:pPr>
              <w:widowControl w:val="1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C">
            <w:pPr>
              <w:widowControl w:val="1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Генеральный Директор </w:t>
            </w:r>
          </w:p>
          <w:p w:rsidR="00000000" w:rsidDel="00000000" w:rsidP="00000000" w:rsidRDefault="00000000" w:rsidRPr="00000000" w14:paraId="0000002D">
            <w:pPr>
              <w:widowControl w:val="1"/>
              <w:spacing w:after="0" w:before="0" w:line="240" w:lineRule="auto"/>
              <w:ind w:left="-18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1"/>
              <w:spacing w:after="0" w:before="0" w:line="240" w:lineRule="auto"/>
              <w:ind w:left="-18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Л. Е. Корзун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F">
            <w:pPr>
              <w:widowControl w:val="1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1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1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/___________________/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2">
            <w:pPr>
              <w:widowControl w:val="1"/>
              <w:spacing w:after="0" w:before="0" w:line="240" w:lineRule="auto"/>
              <w:ind w:left="-18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3">
            <w:pPr>
              <w:widowControl w:val="1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200" w:before="0" w:line="276" w:lineRule="auto"/>
        <w:ind w:left="927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0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993" w:top="709" w:left="1418" w:right="70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927" w:hanging="360"/>
      </w:pPr>
      <w:rPr/>
    </w:lvl>
    <w:lvl w:ilvl="1">
      <w:start w:val="1"/>
      <w:numFmt w:val="decimal"/>
      <w:lvlText w:val="%1.%2."/>
      <w:lvlJc w:val="left"/>
      <w:pPr>
        <w:ind w:left="1047" w:hanging="480"/>
      </w:pPr>
      <w:rPr/>
    </w:lvl>
    <w:lvl w:ilvl="2">
      <w:start w:val="1"/>
      <w:numFmt w:val="decimal"/>
      <w:lvlText w:val="%1.%2.%3."/>
      <w:lvlJc w:val="left"/>
      <w:pPr>
        <w:ind w:left="1287" w:hanging="720.0000000000001"/>
      </w:pPr>
      <w:rPr/>
    </w:lvl>
    <w:lvl w:ilvl="3">
      <w:start w:val="1"/>
      <w:numFmt w:val="decimal"/>
      <w:lvlText w:val="%1.%2.%3.%4."/>
      <w:lvlJc w:val="left"/>
      <w:pPr>
        <w:ind w:left="1287" w:hanging="720.0000000000001"/>
      </w:pPr>
      <w:rPr/>
    </w:lvl>
    <w:lvl w:ilvl="4">
      <w:start w:val="1"/>
      <w:numFmt w:val="decimal"/>
      <w:lvlText w:val="%1.%2.%3.%4.%5."/>
      <w:lvlJc w:val="left"/>
      <w:pPr>
        <w:ind w:left="1647" w:hanging="1080"/>
      </w:pPr>
      <w:rPr/>
    </w:lvl>
    <w:lvl w:ilvl="5">
      <w:start w:val="1"/>
      <w:numFmt w:val="decimal"/>
      <w:lvlText w:val="%1.%2.%3.%4.%5.%6."/>
      <w:lvlJc w:val="left"/>
      <w:pPr>
        <w:ind w:left="1647" w:hanging="1080"/>
      </w:pPr>
      <w:rPr/>
    </w:lvl>
    <w:lvl w:ilvl="6">
      <w:start w:val="1"/>
      <w:numFmt w:val="decimal"/>
      <w:lvlText w:val="%1.%2.%3.%4.%5.%6.%7."/>
      <w:lvlJc w:val="left"/>
      <w:pPr>
        <w:ind w:left="2007" w:hanging="1440"/>
      </w:pPr>
      <w:rPr/>
    </w:lvl>
    <w:lvl w:ilvl="7">
      <w:start w:val="1"/>
      <w:numFmt w:val="decimal"/>
      <w:lvlText w:val="%1.%2.%3.%4.%5.%6.%7.%8."/>
      <w:lvlJc w:val="left"/>
      <w:pPr>
        <w:ind w:left="2007" w:hanging="1440"/>
      </w:pPr>
      <w:rPr/>
    </w:lvl>
    <w:lvl w:ilvl="8">
      <w:start w:val="1"/>
      <w:numFmt w:val="decimal"/>
      <w:lvlText w:val="%1.%2.%3.%4.%5.%6.%7.%8.%9."/>
      <w:lvlJc w:val="left"/>
      <w:pPr>
        <w:ind w:left="2367" w:hanging="180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tenderstandar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mBNAq7wb9iRL8X1x06i/Q+r1Rg==">CgMxLjAyCGguZ2pkZ3hzOAByITFjN3l5Sm5tbHdsSmJqMHUtdTk1VVB4QVBEYXo3d2hjaw==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