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«____»________________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07698B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006B7C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</w:t>
      </w:r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>Задаток должен быть внесен заявителем лично. Задаток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>достижения согласия - рассматриваются в суде.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28"/>
    <w:rsid w:val="00006B7C"/>
    <w:rsid w:val="00033427"/>
    <w:rsid w:val="00053E89"/>
    <w:rsid w:val="00055652"/>
    <w:rsid w:val="00071334"/>
    <w:rsid w:val="0007698B"/>
    <w:rsid w:val="00135F2D"/>
    <w:rsid w:val="001D66A2"/>
    <w:rsid w:val="001E34E6"/>
    <w:rsid w:val="001F0211"/>
    <w:rsid w:val="002B103A"/>
    <w:rsid w:val="002B4544"/>
    <w:rsid w:val="003227A8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31DB6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96D0A"/>
    <w:rsid w:val="009D0844"/>
    <w:rsid w:val="009E1C81"/>
    <w:rsid w:val="00A105C0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NvllZe9ngOrOhUftQkc347WIV2aADBQcsu8lkxtt7/Y=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zJkYvGXAAcbRHAUlAmq5DKUJVnVy1sy75DBdtA5HRoE=</DigestValue>
    </Reference>
  </SignedInfo>
  <SignatureValue>fZ7XuR+e2tblAZ4RtbM3wTyUzyjmZ9Q+Iq0y5fZIo2fI02Ae1gAZbhsjZIAZ2IOk
0qTpq6kHhARqIFNtYMEffA==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q4Y7HaWpplZQFYq2CRyefCL7TY4=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yz0TnT+x11zxgt0eLOteBql/VDw=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2024-10-28T05:27:24Z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2024-10-28T05:27:24Z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</cp:revision>
  <cp:lastPrinted>2008-09-11T02:31:00Z</cp:lastPrinted>
  <dcterms:created xsi:type="dcterms:W3CDTF">2024-10-28T05:26:00Z</dcterms:created>
  <dcterms:modified xsi:type="dcterms:W3CDTF">2024-10-28T05:26:00Z</dcterms:modified>
</cp:coreProperties>
</file>