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46ADD05F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0146EBEF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>Красноярско</w:t>
      </w:r>
      <w:r w:rsidR="002826C6">
        <w:rPr>
          <w:rFonts w:ascii="Times New Roman" w:hAnsi="Times New Roman" w:cs="Times New Roman"/>
          <w:sz w:val="24"/>
          <w:szCs w:val="24"/>
        </w:rPr>
        <w:t xml:space="preserve">го края 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FDCD9E3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 xml:space="preserve">адаток на реквизиты </w:t>
      </w:r>
      <w:proofErr w:type="gramStart"/>
      <w:r w:rsidR="00E008BD" w:rsidRPr="00932418">
        <w:t>получателя</w:t>
      </w:r>
      <w:r w:rsidRPr="00932418">
        <w:t>:</w:t>
      </w:r>
      <w:r w:rsidR="002826C6" w:rsidRPr="002826C6">
        <w:t>,</w:t>
      </w:r>
      <w:proofErr w:type="gramEnd"/>
      <w:r w:rsidR="002826C6" w:rsidRPr="002826C6">
        <w:t xml:space="preserve"> получатель: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01D7C4A8" w14:textId="77777777" w:rsidR="00F06F03" w:rsidRDefault="002826C6" w:rsidP="001F5BE2">
      <w:pPr>
        <w:ind w:firstLine="708"/>
        <w:jc w:val="both"/>
      </w:pPr>
      <w:r w:rsidRPr="002826C6">
        <w:t xml:space="preserve">Лот № 1. </w:t>
      </w:r>
      <w:r w:rsidR="00F06F03" w:rsidRPr="00F06F03">
        <w:t>25% доли участия в уставном капитале ООО ««Планета кофе» (ОГРН 1172468030020, ИНН 2465165094). По цене: 1 268 000,00 руб.</w:t>
      </w:r>
    </w:p>
    <w:p w14:paraId="16E83374" w14:textId="57EEDE6C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674408"/>
    <w:rsid w:val="007F7E10"/>
    <w:rsid w:val="00932418"/>
    <w:rsid w:val="0099249B"/>
    <w:rsid w:val="00A1289C"/>
    <w:rsid w:val="00A75545"/>
    <w:rsid w:val="00B04C2A"/>
    <w:rsid w:val="00B2606B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2015-08-14T11:26:00Z</cp:lastPrinted>
  <dcterms:created xsi:type="dcterms:W3CDTF">2021-07-14T11:39:00Z</dcterms:created>
  <dcterms:modified xsi:type="dcterms:W3CDTF">2024-01-09T13:00:00Z</dcterms:modified>
  <dc:language>en-US</dc:language>
</cp:coreProperties>
</file>