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Договор о задатке (договор присоединения) №_____</w:t>
      </w:r>
    </w:p>
    <w:p>
      <w:pPr>
        <w:pStyle w:val="Normal1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 </w:t>
      </w:r>
      <w:r>
        <w:rPr>
          <w:rFonts w:eastAsia="Times New Roman" w:cs="Times New Roman" w:ascii="Times New Roman" w:hAnsi="Times New Roman"/>
          <w:sz w:val="24"/>
          <w:szCs w:val="24"/>
        </w:rPr>
        <w:t>«____»________________20___ г.</w:t>
      </w:r>
    </w:p>
    <w:p>
      <w:pPr>
        <w:pStyle w:val="Normal1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spacing w:lineRule="auto" w:line="240" w:before="0" w:after="200"/>
        <w:ind w:firstLine="56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ООО «ТендерСтандарт», именуемое в дальнейшем «Электронная торговая площадка» (ЭТП), в лице генерального директора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Выдро Юлии Сергеевны</w:t>
      </w:r>
      <w:r>
        <w:rPr>
          <w:rFonts w:eastAsia="Times New Roman" w:cs="Times New Roman" w:ascii="Times New Roman" w:hAnsi="Times New Roman"/>
          <w:sz w:val="24"/>
          <w:szCs w:val="24"/>
        </w:rPr>
        <w:t>, действующей на основании Устава, с одной стороны, и ________________________________________________ _______________________________________________________, именуемый (ая) в дальнейшем «Претендент», в лице _____________________________________________________________, действующего на основании _________________, с другой стороны, заключили настоящий договор о нижеследующем: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1"/>
        </w:numPr>
        <w:pBdr/>
        <w:shd w:val="clear" w:fill="auto"/>
        <w:tabs>
          <w:tab w:val="clear" w:pos="720"/>
          <w:tab w:val="left" w:pos="851" w:leader="none"/>
        </w:tabs>
        <w:spacing w:lineRule="auto" w:line="276" w:before="0" w:after="0"/>
        <w:ind w:left="0" w:right="0" w:firstLine="567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Претендент на участие в торгах №_________ по продаже имущества, принадлежащего _________________________________________________, присоединился к настоящему договору в соответствии с требованиями ст.ст. 380,381,428 ГК РФ, Регламенту ЭТП ООО «ТендерСтандарт», путем подачи установленной ФЗ «О несостоятельности (банкротстве)» заявки на участие в торгах №______________.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1"/>
        </w:numPr>
        <w:pBdr/>
        <w:shd w:val="clear" w:fill="auto"/>
        <w:tabs>
          <w:tab w:val="clear" w:pos="720"/>
          <w:tab w:val="left" w:pos="851" w:leader="none"/>
        </w:tabs>
        <w:spacing w:lineRule="auto" w:line="276" w:before="0" w:after="0"/>
        <w:ind w:left="0" w:right="0" w:firstLine="567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bookmarkStart w:id="0" w:name="_heading=h.gjdgxs"/>
      <w:bookmarkEnd w:id="0"/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В соответствии с условиями настоящего договора Претендент для участия в торгах №_________  на ЭТП ООО «ТендерСтандарт» по адресу: </w:t>
      </w:r>
      <w:hyperlink r:id="rId2">
        <w:r>
          <w:rPr>
            <w:rFonts w:eastAsia="Times New Roman" w:cs="Times New Roman" w:ascii="Times New Roman" w:hAnsi="Times New Roman"/>
            <w:b w:val="false"/>
            <w:i w:val="false"/>
            <w:caps w:val="false"/>
            <w:smallCaps w:val="false"/>
            <w:strike w:val="false"/>
            <w:dstrike w:val="false"/>
            <w:color w:val="000000"/>
            <w:position w:val="0"/>
            <w:sz w:val="24"/>
            <w:sz w:val="24"/>
            <w:szCs w:val="24"/>
            <w:u w:val="none"/>
            <w:shd w:fill="auto" w:val="clear"/>
            <w:vertAlign w:val="baseline"/>
          </w:rPr>
          <w:t>http://tenderstandart.ru</w:t>
        </w:r>
      </w:hyperlink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, по продаже имущества, принадлежащего_______________________________________________, проводимых согласно объявления №_________________, опубликованного на ЕФРСБ «___»_____________20___ г. (далее – Имущество, Лот №______), оплачивает денежные средства в размере ______% от начальной цены Лота – «Задаток» в сумме ____________________________________________________ рублей путем перечисления денежных средств на расчетный счет ЭТП по следующим реквизитам: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76" w:before="0" w:after="0"/>
        <w:ind w:left="567" w:right="0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Получатель: ООО «ТендерСтандарт»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76" w:before="0" w:after="0"/>
        <w:ind w:left="567" w:right="0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ИНН 6163109679 КПП 770401001 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76" w:before="0" w:after="0"/>
        <w:ind w:left="567" w:right="0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р/с40702810800000000753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76" w:before="0" w:after="0"/>
        <w:ind w:left="567" w:right="0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в банке ПАО "ТАГАНРОГБАНК"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76" w:before="0" w:after="0"/>
        <w:ind w:left="567" w:right="0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к/с 30101810960150000946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76" w:before="0" w:after="0"/>
        <w:ind w:left="567" w:right="0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БИК 046015946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1"/>
        </w:numPr>
        <w:pBdr/>
        <w:shd w:val="clear" w:fill="auto"/>
        <w:tabs>
          <w:tab w:val="clear" w:pos="720"/>
          <w:tab w:val="left" w:pos="851" w:leader="none"/>
        </w:tabs>
        <w:spacing w:lineRule="auto" w:line="276" w:before="0" w:after="0"/>
        <w:ind w:left="0" w:right="0" w:firstLine="567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Оплата задатка Претендента на расчетный счет ЭТП признается сторонами заключением настоящего договора на оговоренных в нем условиях путем присоединения в порядке ст.428 ГК РФ.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1"/>
        </w:numPr>
        <w:pBdr/>
        <w:shd w:val="clear" w:fill="auto"/>
        <w:tabs>
          <w:tab w:val="clear" w:pos="720"/>
          <w:tab w:val="left" w:pos="851" w:leader="none"/>
          <w:tab w:val="left" w:pos="1418" w:leader="none"/>
        </w:tabs>
        <w:spacing w:lineRule="auto" w:line="276" w:before="0" w:after="0"/>
        <w:ind w:left="0" w:right="0" w:firstLine="567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Задаток в полном объеме должен быть внесен Претендентом не позднее даты, указанной в сообщении организатора торгов о продаже Имущества должника ______________________________________ и должен быть зачислен на расчетный счет ЭТП, указанный в п. 2 настоящего договора, не позднее даты, указанной в сообщении о продаже. Задаток считается оплаченным в соответствии с условиями настоящего договора с момента зачисления денежных средств на расчетный счет ЭТП.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1"/>
        </w:numPr>
        <w:pBdr/>
        <w:shd w:val="clear" w:fill="auto"/>
        <w:tabs>
          <w:tab w:val="clear" w:pos="720"/>
          <w:tab w:val="left" w:pos="851" w:leader="none"/>
        </w:tabs>
        <w:spacing w:lineRule="auto" w:line="276" w:before="0" w:after="0"/>
        <w:ind w:left="0" w:right="0" w:firstLine="567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Если сумма задатка от Претендента не была зачислена на расчетный счет ЭТП, указанный в сообщении и настоящем договоре, на дату, указанную в сообщении о продаже Имущества, то Претендент не допускается к участию в торгах. Представление Претендентом платежных документов с отметкой об исполнении при этом во внимание для принятия решения о признании Претендента Участником торгов не принимается.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1"/>
        </w:numPr>
        <w:pBdr/>
        <w:shd w:val="clear" w:fill="auto"/>
        <w:tabs>
          <w:tab w:val="clear" w:pos="720"/>
          <w:tab w:val="left" w:pos="851" w:leader="none"/>
        </w:tabs>
        <w:spacing w:lineRule="auto" w:line="276" w:before="0" w:after="0"/>
        <w:ind w:left="0" w:right="0" w:firstLine="567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Договор о задатке подписывается Претендентом электронной подписью Претендента. Претендент вправе направить задаток  на счет ЭТП, указанный в настоящем договоре, без подписания настоящего Договора электронной цифровой подписью Претендента, в этом случае перечисление задатка в полном размере Претендентом в соответствии с сообщением о проведении торгов считается акцептом размещенного на электронной площадке договора о задатке. Задаток в соответствии со ст.380, 381 ГК РФ выступает обеспечением исполнения обязательств Претендента по заключению по итогам торгов договора купли-продажи и оплате цены продажи Имущества (Лота), определенной по итогам торгов, в случае признания Претендента победителем торгов, при этом на сумму задатка распространяются положения ст. 381 ГК РФ в полном объеме.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1"/>
        </w:numPr>
        <w:pBdr/>
        <w:shd w:val="clear" w:fill="auto"/>
        <w:tabs>
          <w:tab w:val="clear" w:pos="720"/>
          <w:tab w:val="left" w:pos="851" w:leader="none"/>
        </w:tabs>
        <w:spacing w:lineRule="auto" w:line="276" w:before="0" w:after="0"/>
        <w:ind w:left="0" w:right="0" w:firstLine="567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Претендент обязан указать в платежном документе в графе «назначение платежа» ссылку на дату проведения торгов, номер торговой процедуры, номер Лота согласно сообщению о продаже Имущества, опубликованному организатором торгов.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1"/>
        </w:numPr>
        <w:pBdr/>
        <w:shd w:val="clear" w:fill="auto"/>
        <w:tabs>
          <w:tab w:val="clear" w:pos="720"/>
          <w:tab w:val="left" w:pos="851" w:leader="none"/>
        </w:tabs>
        <w:spacing w:lineRule="auto" w:line="276" w:before="0" w:after="0"/>
        <w:ind w:left="0" w:right="0" w:firstLine="567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На денежные средства, поступившие на счет ЭТП в качестве задатка, до момента их возврата либо перечисления собственнику имущества проценты согласно ст. 317.1 ГК РФ не начисляются.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1"/>
        </w:numPr>
        <w:pBdr/>
        <w:shd w:val="clear" w:fill="auto"/>
        <w:tabs>
          <w:tab w:val="clear" w:pos="720"/>
          <w:tab w:val="left" w:pos="851" w:leader="none"/>
        </w:tabs>
        <w:spacing w:lineRule="auto" w:line="276" w:before="0" w:after="0"/>
        <w:ind w:left="0" w:right="0" w:firstLine="567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Исполнение обязанности по внесению суммы задатка третьими лицами не допускается. От имени Претендента и за его счет задаток может быть внесен Поверенным либо Агентом Претендента. При этом Претендент обязан отправить соответствующие договоры, подтверждающие полномочия таких лиц на внесение задатка от имени и за счет Претендента.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1"/>
        </w:numPr>
        <w:pBdr/>
        <w:shd w:val="clear" w:fill="auto"/>
        <w:tabs>
          <w:tab w:val="clear" w:pos="720"/>
          <w:tab w:val="left" w:pos="993" w:leader="none"/>
        </w:tabs>
        <w:spacing w:lineRule="auto" w:line="276" w:before="0" w:after="0"/>
        <w:ind w:left="0" w:right="0" w:firstLine="567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Распоряжение суммой задатка по итогам проведения торговой процедуры осуществляется в следующем порядке:</w:t>
      </w:r>
    </w:p>
    <w:p>
      <w:pPr>
        <w:pStyle w:val="Normal1"/>
        <w:keepNext w:val="false"/>
        <w:keepLines w:val="false"/>
        <w:pageBreakBefore w:val="false"/>
        <w:widowControl/>
        <w:numPr>
          <w:ilvl w:val="1"/>
          <w:numId w:val="1"/>
        </w:numPr>
        <w:pBdr/>
        <w:shd w:val="clear" w:fill="auto"/>
        <w:tabs>
          <w:tab w:val="clear" w:pos="720"/>
          <w:tab w:val="left" w:pos="851" w:leader="none"/>
          <w:tab w:val="left" w:pos="993" w:leader="none"/>
          <w:tab w:val="left" w:pos="1134" w:leader="none"/>
        </w:tabs>
        <w:spacing w:lineRule="auto" w:line="276" w:before="0" w:after="0"/>
        <w:ind w:left="0" w:right="0" w:firstLine="567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Если Претендент, внесший задаток на счет ЭТП, признан победителем торгов, то ЭТП обязана перечислить сумму задатка на счет продавца имущества, с которым победитель торгов заключает договор купли-продажи имущества. ЭТП обязана перечислить сумму задатка в течение 5 банковских дней со дня подписания Организатором торгов Протокола об итогах проведения торгов, срок начинает исчисляться со следующего рабочего дня после даты подписания Протокола об итогах проведения торгов. Сумма задатка засчитывается в счет оплаты имущества, приобретенного на торгах.</w:t>
      </w:r>
    </w:p>
    <w:p>
      <w:pPr>
        <w:pStyle w:val="Normal1"/>
        <w:keepNext w:val="false"/>
        <w:keepLines w:val="false"/>
        <w:pageBreakBefore w:val="false"/>
        <w:widowControl/>
        <w:numPr>
          <w:ilvl w:val="1"/>
          <w:numId w:val="1"/>
        </w:numPr>
        <w:pBdr/>
        <w:shd w:val="clear" w:fill="auto"/>
        <w:tabs>
          <w:tab w:val="clear" w:pos="720"/>
          <w:tab w:val="left" w:pos="851" w:leader="none"/>
          <w:tab w:val="left" w:pos="993" w:leader="none"/>
          <w:tab w:val="left" w:pos="1134" w:leader="none"/>
        </w:tabs>
        <w:spacing w:lineRule="auto" w:line="276" w:before="0" w:after="0"/>
        <w:ind w:left="0" w:right="0" w:firstLine="567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Если Претендент не признан не признан победителем торгов, то ЭТП обязана в течение 5 банковских дней возвратить на счет Претендента, указанный в заявке на участие в торгах, после подписания Организатором торгов Протокола об итогах проведения торгов. Исчисление срока начинается на следующий  после подписания рабочий день. При этом претендент обязан своевременно в пределах 5 дней направить в адрес ЭТП заявление о возврате задатка с указанием актуальных банковских реквизитов. При отсутствии такой заявке ЭТП вправе не перечислять сумму задатка до поступления такого распорядительного письма. В этом случае проценты согласно ст. 317.1 ГК РФ не начисляются, положения ст.395 ГК РФ не применяются в отношении ЭТП до поступления распорядительного письма от имени Претендента.</w:t>
      </w:r>
    </w:p>
    <w:p>
      <w:pPr>
        <w:pStyle w:val="Normal1"/>
        <w:keepNext w:val="false"/>
        <w:keepLines w:val="false"/>
        <w:pageBreakBefore w:val="false"/>
        <w:widowControl/>
        <w:numPr>
          <w:ilvl w:val="1"/>
          <w:numId w:val="1"/>
        </w:numPr>
        <w:pBdr/>
        <w:shd w:val="clear" w:fill="auto"/>
        <w:tabs>
          <w:tab w:val="clear" w:pos="720"/>
          <w:tab w:val="left" w:pos="851" w:leader="none"/>
          <w:tab w:val="left" w:pos="993" w:leader="none"/>
          <w:tab w:val="left" w:pos="1134" w:leader="none"/>
        </w:tabs>
        <w:spacing w:lineRule="auto" w:line="276" w:before="0" w:after="0"/>
        <w:ind w:left="0" w:right="0" w:firstLine="567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В случае отмены торгов, ЭТП обязана возвратить сумму задатка в течение 5 банковских дней с момента подписания Организатором торгов распорядительного документа об отмене торгов.</w:t>
      </w:r>
    </w:p>
    <w:p>
      <w:pPr>
        <w:pStyle w:val="Normal1"/>
        <w:keepNext w:val="false"/>
        <w:keepLines w:val="false"/>
        <w:pageBreakBefore w:val="false"/>
        <w:widowControl/>
        <w:numPr>
          <w:ilvl w:val="1"/>
          <w:numId w:val="1"/>
        </w:numPr>
        <w:pBdr/>
        <w:shd w:val="clear" w:fill="auto"/>
        <w:tabs>
          <w:tab w:val="clear" w:pos="720"/>
          <w:tab w:val="left" w:pos="851" w:leader="none"/>
          <w:tab w:val="left" w:pos="993" w:leader="none"/>
          <w:tab w:val="left" w:pos="1134" w:leader="none"/>
        </w:tabs>
        <w:spacing w:lineRule="auto" w:line="276" w:before="0" w:after="0"/>
        <w:ind w:left="0" w:right="0" w:firstLine="567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В случае признания торгов несостоявшимися, ЭТП обязана возвратить сумму задатка Претенденту в течение 5 банковских дней с даты подписания Организатором торгов Протокола о признании торгов несостоявшимися.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1"/>
        </w:numPr>
        <w:pBdr/>
        <w:shd w:val="clear" w:fill="auto"/>
        <w:tabs>
          <w:tab w:val="clear" w:pos="720"/>
          <w:tab w:val="left" w:pos="851" w:leader="none"/>
          <w:tab w:val="left" w:pos="993" w:leader="none"/>
          <w:tab w:val="left" w:pos="1134" w:leader="none"/>
        </w:tabs>
        <w:spacing w:lineRule="auto" w:line="276" w:before="0" w:after="0"/>
        <w:ind w:left="0" w:right="0" w:firstLine="567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Если Претендент, признанный победителем торгов, уклонился либо отказался от подписания договора купли-продажи по результатам проведения торгов, то внесенный задаток не возвращается Претенденту и подлежит перечислению на счет собственника Имущества, реализуемого на торгах.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1"/>
        </w:numPr>
        <w:pBdr/>
        <w:shd w:val="clear" w:fill="auto"/>
        <w:tabs>
          <w:tab w:val="clear" w:pos="720"/>
          <w:tab w:val="left" w:pos="851" w:leader="none"/>
          <w:tab w:val="left" w:pos="993" w:leader="none"/>
          <w:tab w:val="left" w:pos="1134" w:leader="none"/>
        </w:tabs>
        <w:spacing w:lineRule="auto" w:line="276" w:before="0" w:after="0"/>
        <w:ind w:left="0" w:right="0" w:firstLine="567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Возврат суммы задатка Претенденту осуществляется путем перечисления суммы задатка на счет Претендента, указанный в заявке Претендента. При этом сумма банковских расходов  ЭТП, возникающих при возврате задатка Претенденту в банке, обслуживающем счет ЭТП, несет Претендент путем удержания банковской комиссии из суммы задатка согласно расценкам банка.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1"/>
        </w:numPr>
        <w:pBdr/>
        <w:shd w:val="clear" w:fill="auto"/>
        <w:tabs>
          <w:tab w:val="clear" w:pos="720"/>
          <w:tab w:val="left" w:pos="851" w:leader="none"/>
          <w:tab w:val="left" w:pos="993" w:leader="none"/>
          <w:tab w:val="left" w:pos="1134" w:leader="none"/>
        </w:tabs>
        <w:spacing w:lineRule="auto" w:line="276" w:before="0" w:after="0"/>
        <w:ind w:left="0" w:right="0" w:firstLine="567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Все споры и разногласия, возникающие в процессе исполнения настоящего договора, стороны стремятся урегулировать путем переговоров. В случае не достижения договоренностей, спор подлежит рассмотрению в Арбитражном суде Ростовской области.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1"/>
        </w:numPr>
        <w:pBdr/>
        <w:shd w:val="clear" w:fill="auto"/>
        <w:tabs>
          <w:tab w:val="clear" w:pos="720"/>
          <w:tab w:val="left" w:pos="851" w:leader="none"/>
          <w:tab w:val="left" w:pos="993" w:leader="none"/>
          <w:tab w:val="left" w:pos="1134" w:leader="none"/>
        </w:tabs>
        <w:spacing w:lineRule="auto" w:line="276" w:before="0" w:after="0"/>
        <w:ind w:left="0" w:right="0" w:firstLine="567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Факт оплаты суммы задатка на участие в торгах подтверждает согласие и принятие в полном объеме Претендентом условий настоящего договора.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tabs>
          <w:tab w:val="clear" w:pos="720"/>
          <w:tab w:val="left" w:pos="851" w:leader="none"/>
        </w:tabs>
        <w:spacing w:lineRule="auto" w:line="276" w:before="0" w:after="200"/>
        <w:ind w:left="927" w:right="0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tabs>
          <w:tab w:val="clear" w:pos="720"/>
          <w:tab w:val="left" w:pos="851" w:leader="none"/>
        </w:tabs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Реквизиты Сторон</w:t>
      </w:r>
    </w:p>
    <w:tbl>
      <w:tblPr>
        <w:tblStyle w:val="Table1"/>
        <w:tblW w:w="9775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4535"/>
        <w:gridCol w:w="5239"/>
      </w:tblGrid>
      <w:tr>
        <w:trPr/>
        <w:tc>
          <w:tcPr>
            <w:tcW w:w="4535" w:type="dxa"/>
            <w:tcBorders/>
          </w:tcPr>
          <w:p>
            <w:pPr>
              <w:pStyle w:val="Normal1"/>
              <w:widowControl w:val="false"/>
              <w:spacing w:lineRule="auto" w:line="276" w:before="0" w:after="0"/>
              <w:ind w:left="-180" w:hanging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Электронная торговая площадка</w:t>
            </w:r>
          </w:p>
        </w:tc>
        <w:tc>
          <w:tcPr>
            <w:tcW w:w="5239" w:type="dxa"/>
            <w:tcBorders/>
          </w:tcPr>
          <w:p>
            <w:pPr>
              <w:pStyle w:val="Normal1"/>
              <w:widowControl w:val="false"/>
              <w:spacing w:lineRule="auto" w:line="240" w:before="0" w:after="0"/>
              <w:ind w:left="-180" w:hanging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ab/>
              <w:t>Претендент</w:t>
            </w:r>
          </w:p>
        </w:tc>
      </w:tr>
      <w:tr>
        <w:trPr/>
        <w:tc>
          <w:tcPr>
            <w:tcW w:w="4535" w:type="dxa"/>
            <w:tcBorders/>
          </w:tcPr>
          <w:p>
            <w:pPr>
              <w:pStyle w:val="Normal1"/>
              <w:widowControl w:val="false"/>
              <w:spacing w:lineRule="auto" w:line="276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ООО «ТендерСтандарт»</w:t>
            </w:r>
          </w:p>
          <w:p>
            <w:pPr>
              <w:pStyle w:val="Normal1"/>
              <w:widowControl w:val="false"/>
              <w:tabs>
                <w:tab w:val="clear" w:pos="720"/>
                <w:tab w:val="left" w:pos="851" w:leader="none"/>
                <w:tab w:val="left" w:pos="993" w:leader="none"/>
                <w:tab w:val="left" w:pos="1134" w:leader="none"/>
              </w:tabs>
              <w:spacing w:lineRule="auto" w:line="276" w:before="0" w:after="0"/>
              <w:ind w:left="37" w:hanging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24"/>
                <w:szCs w:val="24"/>
              </w:rPr>
              <w:t>121069, г. Москва, вн. тер.г. мо Арбат, ул. Поварская, д.10, стр.1, помещ. 22/1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ИНН 6163109679 КПП  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24"/>
                <w:szCs w:val="24"/>
              </w:rPr>
              <w:t>770401001</w:t>
            </w:r>
          </w:p>
          <w:p>
            <w:pPr>
              <w:pStyle w:val="Normal1"/>
              <w:widowControl w:val="false"/>
              <w:tabs>
                <w:tab w:val="clear" w:pos="720"/>
                <w:tab w:val="left" w:pos="851" w:leader="none"/>
                <w:tab w:val="left" w:pos="993" w:leader="none"/>
                <w:tab w:val="left" w:pos="1134" w:leader="none"/>
              </w:tabs>
              <w:spacing w:lineRule="auto" w:line="276" w:before="0" w:after="0"/>
              <w:ind w:left="37" w:hanging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ОГРН 1116195010580</w:t>
            </w:r>
          </w:p>
          <w:p>
            <w:pPr>
              <w:pStyle w:val="Normal1"/>
              <w:widowControl w:val="false"/>
              <w:tabs>
                <w:tab w:val="clear" w:pos="720"/>
                <w:tab w:val="left" w:pos="851" w:leader="none"/>
                <w:tab w:val="left" w:pos="993" w:leader="none"/>
                <w:tab w:val="left" w:pos="1134" w:leader="none"/>
              </w:tabs>
              <w:spacing w:lineRule="auto" w:line="276" w:before="0" w:after="0"/>
              <w:ind w:left="37" w:hanging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ПАО "ТАГАНРОГБАНК"</w:t>
            </w:r>
          </w:p>
          <w:p>
            <w:pPr>
              <w:pStyle w:val="Normal1"/>
              <w:widowControl w:val="false"/>
              <w:tabs>
                <w:tab w:val="clear" w:pos="720"/>
                <w:tab w:val="left" w:pos="851" w:leader="none"/>
                <w:tab w:val="left" w:pos="993" w:leader="none"/>
                <w:tab w:val="left" w:pos="1134" w:leader="none"/>
              </w:tabs>
              <w:spacing w:lineRule="auto" w:line="276" w:before="0" w:after="0"/>
              <w:ind w:left="37" w:hanging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р/с 40702810800000000753</w:t>
            </w:r>
          </w:p>
          <w:p>
            <w:pPr>
              <w:pStyle w:val="Normal1"/>
              <w:widowControl w:val="false"/>
              <w:tabs>
                <w:tab w:val="clear" w:pos="720"/>
                <w:tab w:val="left" w:pos="851" w:leader="none"/>
                <w:tab w:val="left" w:pos="993" w:leader="none"/>
                <w:tab w:val="left" w:pos="1134" w:leader="none"/>
              </w:tabs>
              <w:spacing w:lineRule="auto" w:line="276" w:before="0" w:after="0"/>
              <w:ind w:left="37" w:hanging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к/с 30101810960150000946</w:t>
            </w:r>
          </w:p>
          <w:p>
            <w:pPr>
              <w:pStyle w:val="Normal1"/>
              <w:widowControl w:val="false"/>
              <w:tabs>
                <w:tab w:val="clear" w:pos="720"/>
                <w:tab w:val="left" w:pos="851" w:leader="none"/>
                <w:tab w:val="left" w:pos="993" w:leader="none"/>
                <w:tab w:val="left" w:pos="1134" w:leader="none"/>
              </w:tabs>
              <w:spacing w:lineRule="auto" w:line="276" w:before="0" w:after="0"/>
              <w:ind w:left="37" w:hanging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БИК 046015946</w:t>
            </w:r>
          </w:p>
          <w:p>
            <w:pPr>
              <w:pStyle w:val="Normal1"/>
              <w:widowControl w:val="false"/>
              <w:spacing w:lineRule="auto" w:line="276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239" w:type="dxa"/>
            <w:tcBorders/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4535" w:type="dxa"/>
            <w:tcBorders/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 xml:space="preserve">Генеральный Директор </w:t>
            </w:r>
          </w:p>
          <w:p>
            <w:pPr>
              <w:pStyle w:val="Normal1"/>
              <w:widowControl w:val="false"/>
              <w:spacing w:lineRule="auto" w:line="240" w:before="0" w:after="0"/>
              <w:ind w:left="-180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ind w:left="-180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___________________ 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Ю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 xml:space="preserve">. 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С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 xml:space="preserve">. 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Выдро</w:t>
            </w:r>
          </w:p>
        </w:tc>
        <w:tc>
          <w:tcPr>
            <w:tcW w:w="5239" w:type="dxa"/>
            <w:tcBorders/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____________________ 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/___________________/</w:t>
            </w:r>
          </w:p>
        </w:tc>
      </w:tr>
      <w:tr>
        <w:trPr/>
        <w:tc>
          <w:tcPr>
            <w:tcW w:w="4535" w:type="dxa"/>
            <w:tcBorders/>
          </w:tcPr>
          <w:p>
            <w:pPr>
              <w:pStyle w:val="Normal1"/>
              <w:widowControl w:val="false"/>
              <w:spacing w:lineRule="auto" w:line="240" w:before="0" w:after="0"/>
              <w:ind w:left="-180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239" w:type="dxa"/>
            <w:tcBorders/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1"/>
        <w:keepNext w:val="false"/>
        <w:keepLines w:val="false"/>
        <w:pageBreakBefore w:val="false"/>
        <w:widowControl/>
        <w:pBdr/>
        <w:shd w:val="clear" w:fill="auto"/>
        <w:tabs>
          <w:tab w:val="clear" w:pos="720"/>
          <w:tab w:val="left" w:pos="851" w:leader="none"/>
        </w:tabs>
        <w:spacing w:lineRule="auto" w:line="276" w:before="0" w:after="200"/>
        <w:ind w:left="927" w:right="0" w:hanging="0"/>
        <w:jc w:val="center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spacing w:lineRule="auto" w:line="240" w:before="0" w:after="20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/>
      </w:r>
    </w:p>
    <w:sectPr>
      <w:type w:val="nextPage"/>
      <w:pgSz w:w="11906" w:h="16838"/>
      <w:pgMar w:left="1418" w:right="707" w:gutter="0" w:header="0" w:top="709" w:footer="0" w:bottom="993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Georgia">
    <w:charset w:val="cc"/>
    <w:family w:val="roman"/>
    <w:pitch w:val="variable"/>
  </w:font>
  <w:font w:name="Times New Roman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47" w:hanging="48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7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287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47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647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007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00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367" w:hanging="180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5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zh-CN" w:bidi="hi-IN"/>
    </w:rPr>
  </w:style>
  <w:style w:type="paragraph" w:styleId="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Style8">
    <w:name w:val="Интернет-ссылка"/>
    <w:rPr>
      <w:color w:val="000080"/>
      <w:u w:val="single"/>
      <w:lang w:val="zxx" w:eastAsia="zxx" w:bidi="zxx"/>
    </w:rPr>
  </w:style>
  <w:style w:type="paragraph" w:styleId="Style9">
    <w:name w:val="Заголовок"/>
    <w:basedOn w:val="Normal"/>
    <w:next w:val="Style10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0">
    <w:name w:val="Body Text"/>
    <w:basedOn w:val="Normal"/>
    <w:pPr>
      <w:spacing w:lineRule="auto" w:line="276" w:before="0" w:after="140"/>
    </w:pPr>
    <w:rPr/>
  </w:style>
  <w:style w:type="paragraph" w:styleId="Style11">
    <w:name w:val="List"/>
    <w:basedOn w:val="Style10"/>
    <w:pPr/>
    <w:rPr>
      <w:rFonts w:cs="Arial"/>
    </w:rPr>
  </w:style>
  <w:style w:type="paragraph" w:styleId="Style12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Normal1" w:default="1">
    <w:name w:val="LO-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zh-CN" w:bidi="hi-IN"/>
    </w:rPr>
  </w:style>
  <w:style w:type="paragraph" w:styleId="Style14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tyle15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tenderstandart.ru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xmBNAq7wb9iRL8X1x06i/Q+r1Rg==">CgMxLjAyCGguZ2pkZ3hzOAByITFjN3l5Sm5tbHdsSmJqMHUtdTk1VVB4QVBEYXo3d2hjaw==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LibreOffice/7.2.0.4$Windows_X86_64 LibreOffice_project/9a9c6381e3f7a62afc1329bd359cc48accb6435b</Application>
  <AppVersion>15.0000</AppVersion>
  <Pages>3</Pages>
  <Words>942</Words>
  <Characters>6593</Characters>
  <CharactersWithSpaces>7492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2024-05-27T14:46:50Z</dcterms:modified>
  <cp:revision>1</cp:revision>
  <dc:subject/>
  <dc:title/>
</cp:coreProperties>
</file>