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97" w:rsidRDefault="00527297" w:rsidP="00527297">
      <w:pPr>
        <w:jc w:val="center"/>
        <w:rPr>
          <w:b/>
        </w:rPr>
      </w:pPr>
      <w:r>
        <w:rPr>
          <w:b/>
        </w:rPr>
        <w:t>Договор о задатке</w:t>
      </w:r>
    </w:p>
    <w:p w:rsidR="00527297" w:rsidRDefault="00527297" w:rsidP="00527297">
      <w:pPr>
        <w:widowControl/>
        <w:tabs>
          <w:tab w:val="left" w:pos="1276"/>
        </w:tabs>
        <w:suppressAutoHyphens w:val="0"/>
        <w:autoSpaceDN w:val="0"/>
        <w:adjustRightInd w:val="0"/>
        <w:ind w:firstLine="720"/>
        <w:jc w:val="both"/>
      </w:pPr>
    </w:p>
    <w:p w:rsidR="00527297" w:rsidRPr="00F71E35" w:rsidRDefault="003F43B6" w:rsidP="00527297">
      <w:pPr>
        <w:widowControl/>
        <w:tabs>
          <w:tab w:val="left" w:pos="1276"/>
        </w:tabs>
        <w:suppressAutoHyphens w:val="0"/>
        <w:autoSpaceDN w:val="0"/>
        <w:adjustRightInd w:val="0"/>
        <w:ind w:firstLine="720"/>
        <w:jc w:val="both"/>
      </w:pPr>
      <w:r w:rsidRPr="003F43B6">
        <w:rPr>
          <w:b/>
        </w:rPr>
        <w:t>Финансовый управляющий</w:t>
      </w:r>
      <w:r w:rsidRPr="00421071">
        <w:t xml:space="preserve"> гражданина </w:t>
      </w:r>
      <w:r w:rsidR="00E91CBE" w:rsidRPr="00765E69">
        <w:rPr>
          <w:rFonts w:eastAsia="Calibri"/>
          <w:noProof/>
        </w:rPr>
        <w:t>Вагнера Евгения Геннадьевича</w:t>
      </w:r>
      <w:r w:rsidRPr="005C469B">
        <w:t>,</w:t>
      </w:r>
      <w:r>
        <w:t xml:space="preserve"> </w:t>
      </w:r>
      <w:r w:rsidRPr="003F43B6">
        <w:rPr>
          <w:b/>
          <w:shd w:val="clear" w:color="auto" w:fill="FFFFFF"/>
        </w:rPr>
        <w:t>Решетников Дмитрий Олегович</w:t>
      </w:r>
      <w:r>
        <w:rPr>
          <w:shd w:val="clear" w:color="auto" w:fill="FFFFFF"/>
        </w:rPr>
        <w:t>,</w:t>
      </w:r>
      <w:r w:rsidRPr="005C469B">
        <w:t xml:space="preserve"> дейс</w:t>
      </w:r>
      <w:r>
        <w:t>твующий</w:t>
      </w:r>
      <w:r w:rsidRPr="005C469B">
        <w:t xml:space="preserve"> на основании </w:t>
      </w:r>
      <w:r w:rsidR="00E91CBE" w:rsidRPr="00765E69">
        <w:t xml:space="preserve">определения </w:t>
      </w:r>
      <w:r w:rsidR="00E91CBE" w:rsidRPr="00765E69">
        <w:rPr>
          <w:rFonts w:eastAsia="Calibri"/>
        </w:rPr>
        <w:t xml:space="preserve">Арбитражного суда Самарской области от 19.11.2025г. по делу </w:t>
      </w:r>
      <w:r w:rsidR="00E91CBE" w:rsidRPr="00765E69">
        <w:t>№ А55-27099/2023</w:t>
      </w:r>
      <w:r w:rsidR="00527297">
        <w:t>,</w:t>
      </w:r>
      <w:r w:rsidR="00527297" w:rsidRPr="00F71E35">
        <w:t xml:space="preserve"> (далее – «</w:t>
      </w:r>
      <w:r w:rsidR="00527297" w:rsidRPr="00F71E35">
        <w:rPr>
          <w:b/>
        </w:rPr>
        <w:t>Организатор торгов»</w:t>
      </w:r>
      <w:r w:rsidR="00527297" w:rsidRPr="00F71E35">
        <w:t>) и любое лицо, подавшее заявку на участие  в торгах, указанных в информационном извещении (далее – «</w:t>
      </w:r>
      <w:r w:rsidR="00527297" w:rsidRPr="00F71E35">
        <w:rPr>
          <w:b/>
        </w:rPr>
        <w:t>Участник»</w:t>
      </w:r>
      <w:r w:rsidR="00527297" w:rsidRPr="00F71E35">
        <w:t xml:space="preserve">), совместно именуемые </w:t>
      </w:r>
      <w:r w:rsidR="00527297" w:rsidRPr="00F71E35">
        <w:rPr>
          <w:b/>
        </w:rPr>
        <w:t>«Стороны»</w:t>
      </w:r>
      <w:r w:rsidR="00527297" w:rsidRPr="00F71E35">
        <w:t xml:space="preserve"> заключили настоящий договор о нижеследующем:</w:t>
      </w:r>
    </w:p>
    <w:p w:rsidR="00527297" w:rsidRPr="00F71E35" w:rsidRDefault="00527297" w:rsidP="00527297">
      <w:pPr>
        <w:tabs>
          <w:tab w:val="left" w:pos="1276"/>
        </w:tabs>
        <w:ind w:firstLine="720"/>
        <w:jc w:val="both"/>
      </w:pPr>
    </w:p>
    <w:p w:rsidR="00527297" w:rsidRPr="00F71E35" w:rsidRDefault="00527297" w:rsidP="00527297">
      <w:pPr>
        <w:numPr>
          <w:ilvl w:val="0"/>
          <w:numId w:val="1"/>
        </w:numPr>
        <w:tabs>
          <w:tab w:val="left" w:pos="426"/>
          <w:tab w:val="left" w:pos="1276"/>
        </w:tabs>
        <w:ind w:left="0" w:firstLine="0"/>
        <w:jc w:val="center"/>
      </w:pPr>
      <w:r w:rsidRPr="00F71E35">
        <w:t>ПРЕДМЕТ ДОГОВОРА</w:t>
      </w:r>
    </w:p>
    <w:p w:rsidR="00527297" w:rsidRPr="00F71E35" w:rsidRDefault="00527297" w:rsidP="00527297">
      <w:pPr>
        <w:tabs>
          <w:tab w:val="left" w:pos="1276"/>
        </w:tabs>
        <w:ind w:firstLine="720"/>
        <w:jc w:val="both"/>
      </w:pPr>
    </w:p>
    <w:p w:rsidR="00527297" w:rsidRDefault="00527297" w:rsidP="00527297">
      <w:pPr>
        <w:widowControl/>
        <w:numPr>
          <w:ilvl w:val="1"/>
          <w:numId w:val="3"/>
        </w:numPr>
        <w:tabs>
          <w:tab w:val="left" w:pos="1276"/>
        </w:tabs>
        <w:suppressAutoHyphens w:val="0"/>
        <w:autoSpaceDN w:val="0"/>
        <w:adjustRightInd w:val="0"/>
        <w:ind w:left="0" w:firstLine="720"/>
        <w:jc w:val="both"/>
      </w:pPr>
      <w:r w:rsidRPr="00F71E35">
        <w:t xml:space="preserve">Участник, в целях его участия </w:t>
      </w:r>
      <w:r w:rsidRPr="00F71E35">
        <w:rPr>
          <w:rFonts w:hint="eastAsia"/>
        </w:rPr>
        <w:t>в</w:t>
      </w:r>
      <w:r w:rsidRPr="00F71E35">
        <w:t xml:space="preserve"> </w:t>
      </w:r>
      <w:r w:rsidRPr="00F71E35">
        <w:rPr>
          <w:rFonts w:hint="eastAsia"/>
        </w:rPr>
        <w:t>торгах</w:t>
      </w:r>
      <w:r w:rsidRPr="00F71E35">
        <w:t xml:space="preserve"> </w:t>
      </w:r>
      <w:r w:rsidRPr="00F71E35">
        <w:rPr>
          <w:rFonts w:hint="eastAsia"/>
        </w:rPr>
        <w:t>при</w:t>
      </w:r>
      <w:r w:rsidRPr="00F71E35">
        <w:t xml:space="preserve"> </w:t>
      </w:r>
      <w:r w:rsidRPr="00F71E35">
        <w:rPr>
          <w:rFonts w:hint="eastAsia"/>
        </w:rPr>
        <w:t>продаже</w:t>
      </w:r>
      <w:r w:rsidRPr="00F71E35">
        <w:t xml:space="preserve"> </w:t>
      </w:r>
      <w:r w:rsidRPr="00F71E35">
        <w:rPr>
          <w:rFonts w:hint="eastAsia"/>
        </w:rPr>
        <w:t>предприятия</w:t>
      </w:r>
      <w:r w:rsidRPr="00F71E35">
        <w:t xml:space="preserve"> (</w:t>
      </w:r>
      <w:r w:rsidRPr="00F71E35">
        <w:rPr>
          <w:rFonts w:hint="eastAsia"/>
        </w:rPr>
        <w:t>имущества</w:t>
      </w:r>
      <w:r w:rsidRPr="00F71E35">
        <w:t xml:space="preserve">) </w:t>
      </w:r>
      <w:r w:rsidRPr="00F71E35">
        <w:rPr>
          <w:rFonts w:hint="eastAsia"/>
        </w:rPr>
        <w:t>должников</w:t>
      </w:r>
      <w:r w:rsidRPr="00F71E35">
        <w:t xml:space="preserve"> </w:t>
      </w:r>
      <w:r w:rsidRPr="00F71E35">
        <w:rPr>
          <w:rFonts w:hint="eastAsia"/>
        </w:rPr>
        <w:t>в</w:t>
      </w:r>
      <w:r w:rsidRPr="00F71E35">
        <w:t xml:space="preserve"> </w:t>
      </w:r>
      <w:r w:rsidRPr="00F71E35">
        <w:rPr>
          <w:rFonts w:hint="eastAsia"/>
        </w:rPr>
        <w:t>ходе</w:t>
      </w:r>
      <w:r w:rsidRPr="00F71E35">
        <w:t xml:space="preserve"> п</w:t>
      </w:r>
      <w:r w:rsidRPr="00F71E35">
        <w:rPr>
          <w:rFonts w:hint="eastAsia"/>
        </w:rPr>
        <w:t>роцедур</w:t>
      </w:r>
      <w:r w:rsidRPr="00F71E35">
        <w:t>, п</w:t>
      </w:r>
      <w:r w:rsidRPr="00F71E35">
        <w:rPr>
          <w:rFonts w:hint="eastAsia"/>
        </w:rPr>
        <w:t>рименяемых</w:t>
      </w:r>
      <w:r w:rsidRPr="00F71E35">
        <w:t xml:space="preserve"> </w:t>
      </w:r>
      <w:r w:rsidRPr="00F71E35">
        <w:rPr>
          <w:rFonts w:hint="eastAsia"/>
        </w:rPr>
        <w:t>в</w:t>
      </w:r>
      <w:r w:rsidRPr="00F71E35">
        <w:t xml:space="preserve"> </w:t>
      </w:r>
      <w:r w:rsidRPr="00F71E35">
        <w:rPr>
          <w:rFonts w:hint="eastAsia"/>
        </w:rPr>
        <w:t>деле</w:t>
      </w:r>
      <w:r w:rsidRPr="00F71E35">
        <w:t xml:space="preserve"> </w:t>
      </w:r>
      <w:r w:rsidRPr="00F71E35">
        <w:rPr>
          <w:rFonts w:hint="eastAsia"/>
        </w:rPr>
        <w:t>о</w:t>
      </w:r>
      <w:r w:rsidRPr="00F71E35">
        <w:t xml:space="preserve"> </w:t>
      </w:r>
      <w:r w:rsidRPr="00F71E35">
        <w:rPr>
          <w:rFonts w:hint="eastAsia"/>
        </w:rPr>
        <w:t>банкротстве</w:t>
      </w:r>
      <w:r>
        <w:t xml:space="preserve"> (далее – торги)</w:t>
      </w:r>
      <w:r w:rsidRPr="00F71E35">
        <w:t xml:space="preserve">, указанных в </w:t>
      </w:r>
      <w:r w:rsidRPr="00F71E35">
        <w:rPr>
          <w:rStyle w:val="paragraph"/>
          <w:bCs/>
        </w:rPr>
        <w:t>информационном сообщении</w:t>
      </w:r>
      <w:r w:rsidRPr="00F71E35">
        <w:t xml:space="preserve"> о проведении торгов, обязуется перечислить задаток в размере и на расчетный счет, указанный Организатором торгов в информационном сообщении</w:t>
      </w:r>
      <w:r>
        <w:t xml:space="preserve"> </w:t>
      </w:r>
      <w:r w:rsidRPr="00F71E35">
        <w:t>о проведении торгов.</w:t>
      </w:r>
    </w:p>
    <w:p w:rsidR="00527297" w:rsidRPr="00F71E35" w:rsidRDefault="00527297" w:rsidP="00527297">
      <w:pPr>
        <w:widowControl/>
        <w:numPr>
          <w:ilvl w:val="1"/>
          <w:numId w:val="3"/>
        </w:numPr>
        <w:tabs>
          <w:tab w:val="left" w:pos="1276"/>
        </w:tabs>
        <w:suppressAutoHyphens w:val="0"/>
        <w:autoSpaceDN w:val="0"/>
        <w:adjustRightInd w:val="0"/>
        <w:ind w:left="0" w:firstLine="720"/>
        <w:jc w:val="both"/>
      </w:pPr>
      <w:r w:rsidRPr="00F71E35">
        <w:rPr>
          <w:rStyle w:val="paragraph"/>
          <w:bCs/>
        </w:rPr>
        <w:t>Информационно</w:t>
      </w:r>
      <w:r>
        <w:rPr>
          <w:rStyle w:val="paragraph"/>
          <w:bCs/>
        </w:rPr>
        <w:t xml:space="preserve">е </w:t>
      </w:r>
      <w:r w:rsidRPr="00F71E35">
        <w:rPr>
          <w:rStyle w:val="paragraph"/>
          <w:bCs/>
        </w:rPr>
        <w:t>сообщени</w:t>
      </w:r>
      <w:r>
        <w:rPr>
          <w:rStyle w:val="paragraph"/>
          <w:bCs/>
        </w:rPr>
        <w:t>е</w:t>
      </w:r>
      <w:r w:rsidRPr="00F71E35">
        <w:t xml:space="preserve"> о проведении торгов по лоту, на который подается заявка</w:t>
      </w:r>
      <w:r>
        <w:t>,</w:t>
      </w:r>
      <w:r w:rsidRPr="00F71E35">
        <w:t xml:space="preserve"> явля</w:t>
      </w:r>
      <w:r>
        <w:t>ет</w:t>
      </w:r>
      <w:r w:rsidRPr="00F71E35">
        <w:t>ся неотъемлемой частью настоящего договора</w:t>
      </w:r>
      <w:r>
        <w:t>.</w:t>
      </w:r>
    </w:p>
    <w:p w:rsidR="00527297" w:rsidRPr="00F71E35" w:rsidRDefault="00527297" w:rsidP="00527297">
      <w:pPr>
        <w:numPr>
          <w:ilvl w:val="1"/>
          <w:numId w:val="3"/>
        </w:numPr>
        <w:tabs>
          <w:tab w:val="left" w:pos="1276"/>
        </w:tabs>
        <w:ind w:left="0" w:firstLine="720"/>
        <w:jc w:val="both"/>
      </w:pPr>
      <w:proofErr w:type="gramStart"/>
      <w:r w:rsidRPr="00F71E35">
        <w:t xml:space="preserve">Задаток, указанный в пункте 1.1 настоящего договора, вносится Участником в качестве обеспечения исполнения им обязательств по </w:t>
      </w:r>
      <w:r w:rsidRPr="00E873C0">
        <w:t>заключению и исполнению договора</w:t>
      </w:r>
      <w:r w:rsidRPr="00F71E35">
        <w:t xml:space="preserve">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</w:t>
      </w:r>
      <w:proofErr w:type="gramEnd"/>
      <w:r w:rsidRPr="00F71E35">
        <w:t xml:space="preserve"> заключенному между Участником и </w:t>
      </w:r>
      <w:r>
        <w:t xml:space="preserve">арбитражным </w:t>
      </w:r>
      <w:r w:rsidRPr="00F71E35">
        <w:t xml:space="preserve">управляющим договора купли-продажи. </w:t>
      </w:r>
    </w:p>
    <w:p w:rsidR="00527297" w:rsidRPr="00F71E35" w:rsidRDefault="00527297" w:rsidP="00527297">
      <w:pPr>
        <w:numPr>
          <w:ilvl w:val="1"/>
          <w:numId w:val="3"/>
        </w:numPr>
        <w:tabs>
          <w:tab w:val="left" w:pos="1276"/>
        </w:tabs>
        <w:ind w:left="0" w:firstLine="720"/>
        <w:jc w:val="both"/>
      </w:pPr>
      <w:r w:rsidRPr="00F71E35"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:rsidR="00527297" w:rsidRPr="00F71E35" w:rsidRDefault="00527297" w:rsidP="00527297">
      <w:pPr>
        <w:widowControl/>
        <w:tabs>
          <w:tab w:val="left" w:pos="1276"/>
        </w:tabs>
        <w:suppressAutoHyphens w:val="0"/>
        <w:autoSpaceDN w:val="0"/>
        <w:adjustRightInd w:val="0"/>
        <w:ind w:firstLine="709"/>
        <w:jc w:val="both"/>
      </w:pPr>
      <w:r>
        <w:t>1.5</w:t>
      </w:r>
      <w:r w:rsidRPr="005C1139">
        <w:t xml:space="preserve">. Датой внесения задатка считается дата блокирования денежных средств на счете Участника на электронной </w:t>
      </w:r>
      <w:r w:rsidRPr="000F1119">
        <w:t>площадке (в случае, если</w:t>
      </w:r>
      <w:r w:rsidRPr="005C1139">
        <w:t xml:space="preserve"> задаток перечисляется на счет Оператора электронной площадки) или дата поступления денежных средств на иной счет, указанный Организатором торгов в информационном сообщении о проведении торгов.</w:t>
      </w:r>
    </w:p>
    <w:p w:rsidR="00527297" w:rsidRPr="00F71E35" w:rsidRDefault="00527297" w:rsidP="00527297">
      <w:pPr>
        <w:widowControl/>
        <w:numPr>
          <w:ilvl w:val="1"/>
          <w:numId w:val="3"/>
        </w:numPr>
        <w:tabs>
          <w:tab w:val="left" w:pos="1276"/>
        </w:tabs>
        <w:suppressAutoHyphens w:val="0"/>
        <w:autoSpaceDN w:val="0"/>
        <w:adjustRightInd w:val="0"/>
        <w:ind w:left="0" w:firstLine="720"/>
        <w:jc w:val="both"/>
        <w:rPr>
          <w:kern w:val="2"/>
        </w:rPr>
      </w:pPr>
      <w:r w:rsidRPr="00F71E35">
        <w:t>На денежные средства, перечисленные в соответствии с настоящим Договором, проценты не начисляются.</w:t>
      </w:r>
      <w:bookmarkStart w:id="0" w:name="sub_25"/>
    </w:p>
    <w:bookmarkEnd w:id="0"/>
    <w:p w:rsidR="00527297" w:rsidRPr="00F71E35" w:rsidRDefault="00527297" w:rsidP="00527297">
      <w:pPr>
        <w:tabs>
          <w:tab w:val="left" w:pos="1276"/>
        </w:tabs>
        <w:ind w:firstLine="720"/>
        <w:jc w:val="both"/>
      </w:pPr>
    </w:p>
    <w:p w:rsidR="00527297" w:rsidRPr="00F71E35" w:rsidRDefault="00527297" w:rsidP="00527297">
      <w:pPr>
        <w:numPr>
          <w:ilvl w:val="0"/>
          <w:numId w:val="3"/>
        </w:numPr>
        <w:tabs>
          <w:tab w:val="left" w:pos="1134"/>
        </w:tabs>
        <w:ind w:left="0" w:firstLine="720"/>
        <w:jc w:val="center"/>
      </w:pPr>
      <w:r w:rsidRPr="00F71E35">
        <w:t>ПОРЯДОК ЗАКЛЮЧЕНИЯ ДОГОВОРА</w:t>
      </w:r>
    </w:p>
    <w:p w:rsidR="00527297" w:rsidRDefault="00527297" w:rsidP="00527297">
      <w:pPr>
        <w:tabs>
          <w:tab w:val="left" w:pos="1276"/>
        </w:tabs>
        <w:ind w:firstLine="720"/>
        <w:jc w:val="both"/>
        <w:rPr>
          <w:bCs/>
        </w:rPr>
      </w:pPr>
    </w:p>
    <w:p w:rsidR="00527297" w:rsidRPr="00F71E35" w:rsidRDefault="00527297" w:rsidP="00527297">
      <w:pPr>
        <w:tabs>
          <w:tab w:val="left" w:pos="1276"/>
        </w:tabs>
        <w:ind w:firstLine="720"/>
        <w:jc w:val="both"/>
        <w:rPr>
          <w:bCs/>
        </w:rPr>
      </w:pPr>
      <w:r w:rsidRPr="00F71E35">
        <w:rPr>
          <w:bCs/>
        </w:rPr>
        <w:t>2.</w:t>
      </w:r>
      <w:r>
        <w:rPr>
          <w:bCs/>
        </w:rPr>
        <w:t>1</w:t>
      </w:r>
      <w:r w:rsidRPr="00F71E35">
        <w:rPr>
          <w:bCs/>
        </w:rPr>
        <w:t xml:space="preserve">. </w:t>
      </w:r>
      <w:proofErr w:type="gramStart"/>
      <w:r w:rsidRPr="00F71E35">
        <w:t>Подписывая настоящий договор</w:t>
      </w:r>
      <w:r>
        <w:t xml:space="preserve">, </w:t>
      </w:r>
      <w:r w:rsidRPr="00F71E35">
        <w:t xml:space="preserve">размещенный в </w:t>
      </w:r>
      <w:r w:rsidRPr="00F71E35">
        <w:rPr>
          <w:rStyle w:val="paragraph"/>
          <w:bCs/>
        </w:rPr>
        <w:t>информационном сообщении</w:t>
      </w:r>
      <w:r w:rsidRPr="00F71E35">
        <w:t xml:space="preserve"> о проведении торгов на сайте Оператора электронной площадке </w:t>
      </w:r>
      <w:hyperlink r:id="rId6" w:history="1">
        <w:r w:rsidR="00E91CBE" w:rsidRPr="00291C9A">
          <w:rPr>
            <w:rStyle w:val="a3"/>
            <w:bCs/>
            <w:color w:val="auto"/>
            <w:bdr w:val="none" w:sz="0" w:space="0" w:color="auto" w:frame="1"/>
          </w:rPr>
          <w:t>http://</w:t>
        </w:r>
        <w:r w:rsidR="00E91CBE" w:rsidRPr="00291C9A">
          <w:rPr>
            <w:rStyle w:val="a3"/>
            <w:color w:val="auto"/>
          </w:rPr>
          <w:t>tenderstandart.ru</w:t>
        </w:r>
        <w:r w:rsidR="00E91CBE" w:rsidRPr="00291C9A">
          <w:rPr>
            <w:rStyle w:val="a3"/>
            <w:bCs/>
            <w:color w:val="auto"/>
            <w:bdr w:val="none" w:sz="0" w:space="0" w:color="auto" w:frame="1"/>
          </w:rPr>
          <w:t>/</w:t>
        </w:r>
      </w:hyperlink>
      <w:r w:rsidRPr="00F71E35">
        <w:t xml:space="preserve">, 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1" w:name="sub_42802"/>
      <w:r w:rsidRPr="00F71E35">
        <w:t xml:space="preserve">настоящий </w:t>
      </w:r>
      <w:bookmarkEnd w:id="1"/>
      <w:r w:rsidRPr="00F71E35">
        <w:t>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</w:t>
      </w:r>
      <w:proofErr w:type="gramEnd"/>
      <w:r w:rsidRPr="00F71E35">
        <w:t xml:space="preserve"> любых других  явно обременительных торгов условий.</w:t>
      </w:r>
    </w:p>
    <w:p w:rsidR="00527297" w:rsidRPr="00F71E35" w:rsidRDefault="00527297" w:rsidP="00527297">
      <w:pPr>
        <w:tabs>
          <w:tab w:val="left" w:pos="1276"/>
        </w:tabs>
        <w:ind w:firstLine="720"/>
        <w:jc w:val="both"/>
      </w:pPr>
    </w:p>
    <w:p w:rsidR="00527297" w:rsidRPr="00F71E35" w:rsidRDefault="00527297" w:rsidP="00527297">
      <w:pPr>
        <w:numPr>
          <w:ilvl w:val="0"/>
          <w:numId w:val="2"/>
        </w:numPr>
        <w:tabs>
          <w:tab w:val="left" w:pos="426"/>
          <w:tab w:val="left" w:pos="2268"/>
          <w:tab w:val="left" w:pos="2410"/>
          <w:tab w:val="left" w:pos="2835"/>
          <w:tab w:val="left" w:pos="3119"/>
        </w:tabs>
        <w:ind w:left="0" w:firstLine="0"/>
        <w:jc w:val="center"/>
      </w:pPr>
      <w:r w:rsidRPr="00F71E35">
        <w:t>ПОРЯДОК ВОЗВРАТА ЗАДАТКА</w:t>
      </w:r>
    </w:p>
    <w:p w:rsidR="00527297" w:rsidRPr="00F71E35" w:rsidRDefault="00527297" w:rsidP="00527297">
      <w:pPr>
        <w:tabs>
          <w:tab w:val="left" w:pos="1276"/>
          <w:tab w:val="left" w:pos="2977"/>
          <w:tab w:val="left" w:pos="3119"/>
        </w:tabs>
        <w:ind w:firstLine="720"/>
        <w:jc w:val="both"/>
      </w:pPr>
    </w:p>
    <w:p w:rsidR="00527297" w:rsidRPr="00F71E35" w:rsidRDefault="00527297" w:rsidP="00527297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 w:rsidRPr="00F71E35">
        <w:t xml:space="preserve">Организатор торгов либо Оператор электронной площадки (в случае, если задаток перечисляется на счет Оператора электронной площадки) обязуется возвратить сумму задатка, внесенного Участником торгов, в установленных настоящим Договором </w:t>
      </w:r>
      <w:r w:rsidRPr="00F71E35">
        <w:lastRenderedPageBreak/>
        <w:t>случаях. Возврат задатка осуществляется</w:t>
      </w:r>
      <w:r>
        <w:t xml:space="preserve"> Оператором электронной площадки</w:t>
      </w:r>
      <w:r w:rsidRPr="00F71E35">
        <w:t xml:space="preserve"> на</w:t>
      </w:r>
      <w:r>
        <w:t xml:space="preserve"> счет Участника на электронной площадке </w:t>
      </w:r>
      <w:r w:rsidRPr="00F71E35">
        <w:t>(в случае, если задаток перечисляется на счет Оператора электронной площадки)</w:t>
      </w:r>
      <w:r>
        <w:t xml:space="preserve"> или Организатором торгов на </w:t>
      </w:r>
      <w:r w:rsidRPr="00F71E35">
        <w:t>расчетный</w:t>
      </w:r>
      <w:r w:rsidR="00E91CBE">
        <w:t xml:space="preserve"> / лицевой</w:t>
      </w:r>
      <w:r w:rsidRPr="00F71E35">
        <w:t xml:space="preserve"> счет Участника.</w:t>
      </w:r>
    </w:p>
    <w:p w:rsidR="00527297" w:rsidRPr="00F71E35" w:rsidRDefault="00527297" w:rsidP="00527297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 w:rsidRPr="00F71E35">
        <w:t xml:space="preserve"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>
        <w:t>Участника</w:t>
      </w:r>
      <w:r w:rsidRPr="00F71E35">
        <w:t xml:space="preserve"> по заключенному договору купли-продажи имущества.</w:t>
      </w:r>
    </w:p>
    <w:p w:rsidR="00527297" w:rsidRPr="00F71E35" w:rsidRDefault="00527297" w:rsidP="00527297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 w:rsidRPr="00F71E35">
        <w:t xml:space="preserve"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</w:t>
      </w:r>
      <w:r>
        <w:t xml:space="preserve">арбитражным </w:t>
      </w:r>
      <w:r w:rsidRPr="00F71E35">
        <w:t xml:space="preserve">управляющим в установленном порядке и сроки; </w:t>
      </w:r>
      <w:proofErr w:type="gramStart"/>
      <w:r w:rsidRPr="00F71E35">
        <w:t>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  <w:proofErr w:type="gramEnd"/>
    </w:p>
    <w:p w:rsidR="00527297" w:rsidRDefault="00527297" w:rsidP="00527297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proofErr w:type="gramStart"/>
      <w:r>
        <w:t>Участнику</w:t>
      </w:r>
      <w:r w:rsidRPr="00F71E35">
        <w:t xml:space="preserve">, не признанному </w:t>
      </w:r>
      <w:r>
        <w:t>п</w:t>
      </w:r>
      <w:r w:rsidRPr="00F71E35">
        <w:t>обедителем торгов и не являющемуся единственным участником торгов, внесенный задаток возвращается Организатором торгов</w:t>
      </w:r>
      <w:r>
        <w:t xml:space="preserve"> в течение 5 рабочих дней со дня подписания протокола о результатах торгов</w:t>
      </w:r>
      <w:r w:rsidRPr="00F71E35">
        <w:t>, либо Оператором электронной площадки</w:t>
      </w:r>
      <w:r>
        <w:t xml:space="preserve"> в течение 1 рабочего дня со дня подписания протокола о результатах торгов</w:t>
      </w:r>
      <w:r w:rsidRPr="00F71E35">
        <w:t xml:space="preserve"> (в случае, если задаток перечисляется на счет Оператора электронной площадки</w:t>
      </w:r>
      <w:r>
        <w:t>).</w:t>
      </w:r>
      <w:bookmarkStart w:id="2" w:name="sub_36"/>
      <w:proofErr w:type="gramEnd"/>
    </w:p>
    <w:p w:rsidR="00527297" w:rsidRPr="00F71E35" w:rsidRDefault="00527297" w:rsidP="00527297">
      <w:pPr>
        <w:numPr>
          <w:ilvl w:val="1"/>
          <w:numId w:val="2"/>
        </w:numPr>
        <w:tabs>
          <w:tab w:val="left" w:pos="1276"/>
        </w:tabs>
        <w:ind w:left="0" w:firstLine="709"/>
        <w:jc w:val="both"/>
      </w:pPr>
      <w:proofErr w:type="gramStart"/>
      <w:r w:rsidRPr="00F71E35">
        <w:t>В случае отзыва Участником торгов заявки на участие в торгах до наступления срока окончания приема заявок, Организатор торгов</w:t>
      </w:r>
      <w:r>
        <w:t xml:space="preserve"> </w:t>
      </w:r>
      <w:r w:rsidRPr="00F71E35">
        <w:t xml:space="preserve">обязуется возвратить поступившую на его счет сумму задатка в течение 5 рабочих дней с даты получения уведомления от Участника об отзыве заявки, либо Оператор электронной площадки </w:t>
      </w:r>
      <w:r>
        <w:t xml:space="preserve"> возвращает  в течение 1 рабочего дня с даты отзыва заявки (</w:t>
      </w:r>
      <w:r w:rsidRPr="00F71E35">
        <w:t>в случае, если задаток перечисляется на</w:t>
      </w:r>
      <w:proofErr w:type="gramEnd"/>
      <w:r w:rsidRPr="00F71E35">
        <w:t xml:space="preserve"> счет Оператора электронной площадки)</w:t>
      </w:r>
      <w:r>
        <w:t>.</w:t>
      </w:r>
      <w:r w:rsidRPr="00F71E35">
        <w:t xml:space="preserve"> </w:t>
      </w:r>
    </w:p>
    <w:p w:rsidR="00527297" w:rsidRPr="00882B3D" w:rsidRDefault="00527297" w:rsidP="00527297">
      <w:pPr>
        <w:widowControl/>
        <w:suppressAutoHyphens w:val="0"/>
        <w:autoSpaceDE/>
        <w:ind w:firstLine="709"/>
        <w:jc w:val="both"/>
        <w:rPr>
          <w:lang w:eastAsia="ru-RU" w:bidi="ar-SA"/>
        </w:rPr>
      </w:pPr>
      <w:r w:rsidRPr="00882B3D">
        <w:rPr>
          <w:lang w:eastAsia="ru-RU" w:bidi="ar-SA"/>
        </w:rPr>
        <w:t xml:space="preserve">3.6. </w:t>
      </w:r>
      <w:proofErr w:type="gramStart"/>
      <w:r w:rsidRPr="00882B3D">
        <w:rPr>
          <w:lang w:eastAsia="ru-RU" w:bidi="ar-SA"/>
        </w:rPr>
        <w:t>В случае отмены торгов (лота) Организатор торгов обязуется возвратить поступившую на его счет сумму задатка в течение 5 рабочих дней с даты отмены торгов (лота), либо Оператор электронной площадки возвращает в течение 1 рабочего дня с даты отмены торгов (лота) на электронной площадке (в случае, если задаток перечисляется на счет Оператора электронной площадки).</w:t>
      </w:r>
      <w:proofErr w:type="gramEnd"/>
    </w:p>
    <w:p w:rsidR="00527297" w:rsidRPr="00882B3D" w:rsidRDefault="00527297" w:rsidP="00527297">
      <w:pPr>
        <w:tabs>
          <w:tab w:val="left" w:pos="1276"/>
        </w:tabs>
        <w:ind w:firstLine="709"/>
        <w:jc w:val="both"/>
      </w:pPr>
    </w:p>
    <w:bookmarkEnd w:id="2"/>
    <w:p w:rsidR="00527297" w:rsidRPr="00F71E35" w:rsidRDefault="00527297" w:rsidP="00527297">
      <w:pPr>
        <w:ind w:firstLine="567"/>
        <w:jc w:val="both"/>
      </w:pPr>
    </w:p>
    <w:p w:rsidR="00527297" w:rsidRPr="00F71E35" w:rsidRDefault="00527297" w:rsidP="00527297">
      <w:pPr>
        <w:numPr>
          <w:ilvl w:val="0"/>
          <w:numId w:val="2"/>
        </w:numPr>
        <w:ind w:left="0"/>
        <w:jc w:val="center"/>
      </w:pPr>
      <w:r w:rsidRPr="00F71E35">
        <w:t>ИНЫЕ ПОЛОЖЕНИЯ</w:t>
      </w:r>
    </w:p>
    <w:p w:rsidR="00527297" w:rsidRPr="00F71E35" w:rsidRDefault="00527297" w:rsidP="00527297">
      <w:pPr>
        <w:jc w:val="center"/>
      </w:pPr>
    </w:p>
    <w:p w:rsidR="00527297" w:rsidRPr="00F71E35" w:rsidRDefault="00527297" w:rsidP="00527297">
      <w:pPr>
        <w:pStyle w:val="HTML"/>
        <w:numPr>
          <w:ilvl w:val="1"/>
          <w:numId w:val="2"/>
        </w:numPr>
        <w:tabs>
          <w:tab w:val="clear" w:pos="1832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1E3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527297" w:rsidRPr="00F71E35" w:rsidRDefault="00527297" w:rsidP="00527297">
      <w:pPr>
        <w:pStyle w:val="HTML"/>
        <w:numPr>
          <w:ilvl w:val="1"/>
          <w:numId w:val="2"/>
        </w:numPr>
        <w:tabs>
          <w:tab w:val="clear" w:pos="1832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1E35">
        <w:rPr>
          <w:rFonts w:ascii="Times New Roman" w:hAnsi="Times New Roman"/>
          <w:sz w:val="24"/>
          <w:szCs w:val="24"/>
        </w:rPr>
        <w:t xml:space="preserve">Взаимоотношения и ответственность сторон, не оговоренные в настоящем договоре, регулируются законодательством </w:t>
      </w:r>
      <w:r w:rsidRPr="003A75A9">
        <w:rPr>
          <w:rFonts w:ascii="Times New Roman" w:hAnsi="Times New Roman"/>
          <w:sz w:val="24"/>
          <w:szCs w:val="24"/>
        </w:rPr>
        <w:t>Российской Федерации</w:t>
      </w:r>
      <w:r w:rsidRPr="00F71E35">
        <w:rPr>
          <w:rFonts w:ascii="Times New Roman" w:hAnsi="Times New Roman"/>
          <w:sz w:val="24"/>
          <w:szCs w:val="24"/>
        </w:rPr>
        <w:t>.</w:t>
      </w:r>
    </w:p>
    <w:p w:rsidR="00527297" w:rsidRPr="00F71E35" w:rsidRDefault="00527297" w:rsidP="00527297">
      <w:pPr>
        <w:pStyle w:val="HTML"/>
        <w:numPr>
          <w:ilvl w:val="1"/>
          <w:numId w:val="2"/>
        </w:numPr>
        <w:tabs>
          <w:tab w:val="clear" w:pos="1832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1E35">
        <w:rPr>
          <w:rFonts w:ascii="Times New Roman" w:hAnsi="Times New Roman"/>
          <w:sz w:val="24"/>
          <w:szCs w:val="24"/>
        </w:rPr>
        <w:t>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в соответствии с законодательством Российской Федерации.</w:t>
      </w:r>
      <w:r w:rsidRPr="00F71E35">
        <w:rPr>
          <w:rFonts w:ascii="Times New Roman" w:hAnsi="Times New Roman"/>
          <w:sz w:val="24"/>
          <w:szCs w:val="24"/>
        </w:rPr>
        <w:tab/>
      </w:r>
    </w:p>
    <w:p w:rsidR="00C8304E" w:rsidRDefault="00C8304E"/>
    <w:p w:rsidR="00527297" w:rsidRPr="00527297" w:rsidRDefault="00527297" w:rsidP="00527297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27297">
        <w:rPr>
          <w:rFonts w:ascii="Times New Roman" w:hAnsi="Times New Roman" w:cs="Times New Roman"/>
          <w:sz w:val="24"/>
          <w:szCs w:val="24"/>
        </w:rPr>
        <w:t xml:space="preserve"> РЕКВИЗИТЫ и ПОДПИСИ СТОРОН</w:t>
      </w:r>
    </w:p>
    <w:p w:rsidR="00527297" w:rsidRDefault="00527297" w:rsidP="0052729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527297" w:rsidTr="00E91CBE">
        <w:trPr>
          <w:trHeight w:val="7371"/>
        </w:trPr>
        <w:tc>
          <w:tcPr>
            <w:tcW w:w="5068" w:type="dxa"/>
          </w:tcPr>
          <w:p w:rsidR="00527297" w:rsidRPr="00560D1B" w:rsidRDefault="00527297" w:rsidP="0052729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ОРГАНИЗАТОР ТОРГОВ</w:t>
            </w:r>
            <w:r w:rsidRPr="00560D1B">
              <w:rPr>
                <w:b/>
              </w:rPr>
              <w:t>:</w:t>
            </w:r>
          </w:p>
          <w:p w:rsidR="00527297" w:rsidRDefault="00527297" w:rsidP="00527297">
            <w:pPr>
              <w:jc w:val="both"/>
              <w:rPr>
                <w:b/>
                <w:sz w:val="22"/>
                <w:szCs w:val="22"/>
              </w:rPr>
            </w:pPr>
          </w:p>
          <w:p w:rsidR="003F43B6" w:rsidRPr="00E91CBE" w:rsidRDefault="003F43B6" w:rsidP="003F43B6">
            <w:pPr>
              <w:jc w:val="both"/>
              <w:rPr>
                <w:b/>
                <w:sz w:val="22"/>
                <w:szCs w:val="22"/>
              </w:rPr>
            </w:pPr>
            <w:r w:rsidRPr="00E91CBE">
              <w:rPr>
                <w:b/>
                <w:sz w:val="22"/>
                <w:szCs w:val="22"/>
              </w:rPr>
              <w:t>Финансовый управляющий гражданина</w:t>
            </w:r>
          </w:p>
          <w:p w:rsidR="003F43B6" w:rsidRPr="00E91CBE" w:rsidRDefault="00E91CBE" w:rsidP="003F43B6">
            <w:pPr>
              <w:jc w:val="both"/>
              <w:rPr>
                <w:b/>
                <w:sz w:val="22"/>
                <w:szCs w:val="22"/>
              </w:rPr>
            </w:pPr>
            <w:r w:rsidRPr="00E91CBE">
              <w:rPr>
                <w:b/>
                <w:sz w:val="22"/>
                <w:szCs w:val="22"/>
              </w:rPr>
              <w:t>Вагнер</w:t>
            </w:r>
            <w:r w:rsidRPr="00E91CBE">
              <w:rPr>
                <w:b/>
                <w:sz w:val="22"/>
                <w:szCs w:val="22"/>
              </w:rPr>
              <w:t>а</w:t>
            </w:r>
            <w:r w:rsidRPr="00E91CBE">
              <w:rPr>
                <w:b/>
                <w:sz w:val="22"/>
                <w:szCs w:val="22"/>
              </w:rPr>
              <w:t xml:space="preserve"> Евгени</w:t>
            </w:r>
            <w:r w:rsidRPr="00E91CBE">
              <w:rPr>
                <w:b/>
                <w:sz w:val="22"/>
                <w:szCs w:val="22"/>
              </w:rPr>
              <w:t>я</w:t>
            </w:r>
            <w:r w:rsidRPr="00E91CBE">
              <w:rPr>
                <w:b/>
                <w:sz w:val="22"/>
                <w:szCs w:val="22"/>
              </w:rPr>
              <w:t xml:space="preserve"> Геннадьевич</w:t>
            </w:r>
            <w:r w:rsidRPr="00E91CBE">
              <w:rPr>
                <w:b/>
                <w:sz w:val="22"/>
                <w:szCs w:val="22"/>
              </w:rPr>
              <w:t>а</w:t>
            </w:r>
          </w:p>
          <w:p w:rsidR="003F43B6" w:rsidRPr="00E91CBE" w:rsidRDefault="00E91CBE" w:rsidP="003F43B6">
            <w:pPr>
              <w:jc w:val="both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>25.11.1982</w:t>
            </w:r>
            <w:r w:rsidR="003F43B6" w:rsidRPr="00E91CBE">
              <w:rPr>
                <w:sz w:val="22"/>
                <w:szCs w:val="22"/>
              </w:rPr>
              <w:t>г.р.</w:t>
            </w:r>
          </w:p>
          <w:p w:rsidR="00E91CBE" w:rsidRPr="00E91CBE" w:rsidRDefault="00E91CBE" w:rsidP="00E91CBE">
            <w:pPr>
              <w:jc w:val="both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ИНН </w:t>
            </w:r>
            <w:r w:rsidRPr="00E91CBE">
              <w:rPr>
                <w:rFonts w:eastAsia="Calibri"/>
                <w:noProof/>
                <w:sz w:val="22"/>
                <w:szCs w:val="22"/>
              </w:rPr>
              <w:t>632133063961</w:t>
            </w:r>
          </w:p>
          <w:p w:rsidR="00E91CBE" w:rsidRPr="00E91CBE" w:rsidRDefault="00E91CBE" w:rsidP="00E91CBE">
            <w:pPr>
              <w:rPr>
                <w:b/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СНИЛС </w:t>
            </w:r>
            <w:r w:rsidRPr="00E91CBE">
              <w:rPr>
                <w:rFonts w:eastAsia="Calibri"/>
                <w:noProof/>
                <w:sz w:val="22"/>
                <w:szCs w:val="22"/>
              </w:rPr>
              <w:t>108-066-093 39</w:t>
            </w:r>
          </w:p>
          <w:p w:rsidR="003F43B6" w:rsidRPr="00E91CBE" w:rsidRDefault="00E91CBE" w:rsidP="00E91CBE">
            <w:pPr>
              <w:pStyle w:val="a4"/>
              <w:spacing w:after="0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Адрес регистрации: </w:t>
            </w:r>
            <w:r w:rsidRPr="00E91CBE">
              <w:rPr>
                <w:rFonts w:eastAsia="Calibri"/>
                <w:noProof/>
                <w:sz w:val="22"/>
                <w:szCs w:val="22"/>
              </w:rPr>
              <w:t>445143, Самарская область, село Подстепки, ул Жигулевская, 36</w:t>
            </w:r>
          </w:p>
          <w:p w:rsidR="003F43B6" w:rsidRPr="00E91CBE" w:rsidRDefault="003F43B6" w:rsidP="003F43B6">
            <w:pPr>
              <w:pStyle w:val="a4"/>
              <w:spacing w:after="0"/>
              <w:rPr>
                <w:b/>
                <w:sz w:val="22"/>
                <w:szCs w:val="22"/>
              </w:rPr>
            </w:pPr>
            <w:r w:rsidRPr="00E91CBE">
              <w:rPr>
                <w:b/>
                <w:sz w:val="22"/>
                <w:szCs w:val="22"/>
              </w:rPr>
              <w:t>Решетников Дмитрий Олегович</w:t>
            </w:r>
          </w:p>
          <w:p w:rsidR="00E91CBE" w:rsidRPr="00E91CBE" w:rsidRDefault="00E91CBE" w:rsidP="00E91CBE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460000, Оренбургская область, </w:t>
            </w:r>
            <w:proofErr w:type="spellStart"/>
            <w:r w:rsidRPr="00E91CBE">
              <w:rPr>
                <w:sz w:val="22"/>
                <w:szCs w:val="22"/>
              </w:rPr>
              <w:t>г</w:t>
            </w:r>
            <w:proofErr w:type="gramStart"/>
            <w:r w:rsidRPr="00E91CBE">
              <w:rPr>
                <w:sz w:val="22"/>
                <w:szCs w:val="22"/>
              </w:rPr>
              <w:t>.О</w:t>
            </w:r>
            <w:proofErr w:type="gramEnd"/>
            <w:r w:rsidRPr="00E91CBE">
              <w:rPr>
                <w:sz w:val="22"/>
                <w:szCs w:val="22"/>
              </w:rPr>
              <w:t>ренбург</w:t>
            </w:r>
            <w:proofErr w:type="spellEnd"/>
            <w:r w:rsidRPr="00E91CBE">
              <w:rPr>
                <w:sz w:val="22"/>
                <w:szCs w:val="22"/>
              </w:rPr>
              <w:t xml:space="preserve">, </w:t>
            </w:r>
            <w:proofErr w:type="spellStart"/>
            <w:r w:rsidRPr="00E91CBE">
              <w:rPr>
                <w:sz w:val="22"/>
                <w:szCs w:val="22"/>
              </w:rPr>
              <w:t>ул.Пушкинская</w:t>
            </w:r>
            <w:proofErr w:type="spellEnd"/>
            <w:r w:rsidRPr="00E91CBE">
              <w:rPr>
                <w:sz w:val="22"/>
                <w:szCs w:val="22"/>
              </w:rPr>
              <w:t>, д.25, офис 404</w:t>
            </w:r>
          </w:p>
          <w:p w:rsidR="00E91CBE" w:rsidRPr="00E91CBE" w:rsidRDefault="00E91CBE" w:rsidP="00E91CBE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>Тел для связи: 89033600062</w:t>
            </w:r>
          </w:p>
          <w:p w:rsidR="003F43B6" w:rsidRPr="00E91CBE" w:rsidRDefault="00E91CBE" w:rsidP="00E91CBE">
            <w:pPr>
              <w:pStyle w:val="a4"/>
              <w:spacing w:after="0"/>
              <w:rPr>
                <w:sz w:val="22"/>
                <w:szCs w:val="22"/>
                <w:lang w:val="en-US"/>
              </w:rPr>
            </w:pPr>
            <w:r w:rsidRPr="00E91CBE">
              <w:rPr>
                <w:sz w:val="22"/>
                <w:szCs w:val="22"/>
                <w:lang w:val="en-US"/>
              </w:rPr>
              <w:t>e</w:t>
            </w:r>
            <w:r w:rsidRPr="00E91CBE">
              <w:rPr>
                <w:sz w:val="22"/>
                <w:szCs w:val="22"/>
              </w:rPr>
              <w:t>-</w:t>
            </w:r>
            <w:r w:rsidRPr="00E91CBE">
              <w:rPr>
                <w:sz w:val="22"/>
                <w:szCs w:val="22"/>
                <w:lang w:val="en-US"/>
              </w:rPr>
              <w:t>mail</w:t>
            </w:r>
            <w:r w:rsidRPr="00E91CBE">
              <w:rPr>
                <w:sz w:val="22"/>
                <w:szCs w:val="22"/>
              </w:rPr>
              <w:t xml:space="preserve">: </w:t>
            </w:r>
            <w:hyperlink r:id="rId7" w:history="1">
              <w:r w:rsidRPr="00E91CBE">
                <w:rPr>
                  <w:rStyle w:val="a3"/>
                  <w:color w:val="auto"/>
                  <w:sz w:val="22"/>
                  <w:szCs w:val="22"/>
                  <w:lang w:val="en-US"/>
                </w:rPr>
                <w:t>reshetnikovdm</w:t>
              </w:r>
              <w:r w:rsidRPr="00E91CBE">
                <w:rPr>
                  <w:rStyle w:val="a3"/>
                  <w:color w:val="auto"/>
                  <w:sz w:val="22"/>
                  <w:szCs w:val="22"/>
                </w:rPr>
                <w:t>@</w:t>
              </w:r>
              <w:r w:rsidRPr="00E91CBE">
                <w:rPr>
                  <w:rStyle w:val="a3"/>
                  <w:color w:val="auto"/>
                  <w:sz w:val="22"/>
                  <w:szCs w:val="22"/>
                  <w:lang w:val="en-US"/>
                </w:rPr>
                <w:t>mail</w:t>
              </w:r>
              <w:r w:rsidRPr="00E91CBE">
                <w:rPr>
                  <w:rStyle w:val="a3"/>
                  <w:color w:val="auto"/>
                  <w:sz w:val="22"/>
                  <w:szCs w:val="22"/>
                </w:rPr>
                <w:t>.</w:t>
              </w:r>
              <w:proofErr w:type="spellStart"/>
              <w:r w:rsidRPr="00E91CBE">
                <w:rPr>
                  <w:rStyle w:val="a3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F43B6" w:rsidRPr="00E91CBE" w:rsidRDefault="003F43B6" w:rsidP="003F43B6">
            <w:pPr>
              <w:pStyle w:val="a4"/>
              <w:spacing w:after="0"/>
              <w:rPr>
                <w:sz w:val="22"/>
                <w:szCs w:val="22"/>
                <w:lang w:val="en-US"/>
              </w:rPr>
            </w:pPr>
          </w:p>
          <w:p w:rsidR="003F43B6" w:rsidRPr="00E91CBE" w:rsidRDefault="003F43B6" w:rsidP="003F43B6">
            <w:pPr>
              <w:pStyle w:val="a4"/>
              <w:spacing w:after="0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>Реквизиты для оплаты задатка:</w:t>
            </w:r>
          </w:p>
          <w:p w:rsidR="003F43B6" w:rsidRPr="00E91CBE" w:rsidRDefault="003F43B6" w:rsidP="003F43B6">
            <w:pPr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Л/С:  </w:t>
            </w:r>
            <w:r w:rsidR="00E91CBE" w:rsidRPr="00E91CBE">
              <w:rPr>
                <w:sz w:val="22"/>
                <w:szCs w:val="22"/>
              </w:rPr>
              <w:t>40817810850222861085</w:t>
            </w:r>
          </w:p>
          <w:p w:rsidR="00E91CBE" w:rsidRPr="00E91CBE" w:rsidRDefault="00E91CBE" w:rsidP="00E91CBE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наименование банка получателя: ФИЛИАЛ "ЦЕНТРАЛЬНЫЙ" ПАО "СОВКОМБАНК", </w:t>
            </w:r>
          </w:p>
          <w:p w:rsidR="00E91CBE" w:rsidRPr="00E91CBE" w:rsidRDefault="00E91CBE" w:rsidP="00E91CBE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реквизиты банка: БИК: 045004763, </w:t>
            </w:r>
          </w:p>
          <w:p w:rsidR="003F43B6" w:rsidRPr="00E91CBE" w:rsidRDefault="00E91CBE" w:rsidP="00E91CBE">
            <w:pPr>
              <w:pStyle w:val="a4"/>
              <w:spacing w:after="0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>К/С: 30101810150040000763</w:t>
            </w:r>
          </w:p>
          <w:p w:rsidR="003F43B6" w:rsidRPr="00E91CBE" w:rsidRDefault="003F43B6" w:rsidP="003F43B6">
            <w:pPr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Получатель: </w:t>
            </w:r>
            <w:r w:rsidR="00E91CBE" w:rsidRPr="00E91CBE">
              <w:rPr>
                <w:sz w:val="22"/>
                <w:szCs w:val="22"/>
              </w:rPr>
              <w:t>Вагнер Евгений Геннадьевич</w:t>
            </w:r>
          </w:p>
          <w:p w:rsidR="003F43B6" w:rsidRPr="00E91CBE" w:rsidRDefault="003F43B6" w:rsidP="003F43B6">
            <w:pPr>
              <w:jc w:val="both"/>
              <w:rPr>
                <w:sz w:val="22"/>
                <w:szCs w:val="22"/>
              </w:rPr>
            </w:pPr>
            <w:r w:rsidRPr="00E91CBE">
              <w:rPr>
                <w:sz w:val="22"/>
                <w:szCs w:val="22"/>
              </w:rPr>
              <w:t xml:space="preserve">ИНН </w:t>
            </w:r>
            <w:r w:rsidR="00E91CBE" w:rsidRPr="00E91CBE">
              <w:rPr>
                <w:rFonts w:eastAsia="Calibri"/>
                <w:noProof/>
                <w:sz w:val="22"/>
                <w:szCs w:val="22"/>
              </w:rPr>
              <w:t>632133063961</w:t>
            </w:r>
          </w:p>
          <w:p w:rsidR="003F43B6" w:rsidRPr="00C32ED3" w:rsidRDefault="003F43B6" w:rsidP="003F43B6">
            <w:pPr>
              <w:pStyle w:val="a4"/>
              <w:spacing w:after="0"/>
              <w:rPr>
                <w:sz w:val="22"/>
                <w:szCs w:val="22"/>
              </w:rPr>
            </w:pPr>
          </w:p>
          <w:p w:rsidR="003F43B6" w:rsidRPr="00123F29" w:rsidRDefault="003F43B6" w:rsidP="003F43B6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  <w:p w:rsidR="003F43B6" w:rsidRPr="00123F29" w:rsidRDefault="003F43B6" w:rsidP="003F43B6">
            <w:pPr>
              <w:pStyle w:val="a4"/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123F29">
              <w:rPr>
                <w:b/>
                <w:sz w:val="22"/>
                <w:szCs w:val="22"/>
              </w:rPr>
              <w:t xml:space="preserve"> управляющий </w:t>
            </w:r>
            <w:r w:rsidR="00E91CBE">
              <w:rPr>
                <w:b/>
                <w:sz w:val="22"/>
                <w:szCs w:val="22"/>
              </w:rPr>
              <w:t>Вагнера Е.Г</w:t>
            </w:r>
            <w:r>
              <w:rPr>
                <w:b/>
                <w:sz w:val="22"/>
                <w:szCs w:val="22"/>
              </w:rPr>
              <w:t>.</w:t>
            </w:r>
            <w:r w:rsidRPr="00123F29">
              <w:rPr>
                <w:b/>
                <w:sz w:val="22"/>
                <w:szCs w:val="22"/>
              </w:rPr>
              <w:t xml:space="preserve"> </w:t>
            </w:r>
          </w:p>
          <w:p w:rsidR="003F43B6" w:rsidRPr="008342A1" w:rsidRDefault="003F43B6" w:rsidP="003F43B6">
            <w:pPr>
              <w:pStyle w:val="a4"/>
              <w:spacing w:after="0"/>
              <w:jc w:val="both"/>
              <w:rPr>
                <w:b/>
                <w:sz w:val="22"/>
                <w:szCs w:val="22"/>
              </w:rPr>
            </w:pPr>
          </w:p>
          <w:p w:rsidR="003F43B6" w:rsidRPr="008342A1" w:rsidRDefault="003F43B6" w:rsidP="003F43B6">
            <w:pPr>
              <w:pStyle w:val="a4"/>
              <w:spacing w:after="0"/>
              <w:jc w:val="both"/>
              <w:rPr>
                <w:b/>
                <w:sz w:val="22"/>
                <w:szCs w:val="22"/>
              </w:rPr>
            </w:pPr>
            <w:r w:rsidRPr="008342A1">
              <w:rPr>
                <w:b/>
                <w:sz w:val="22"/>
                <w:szCs w:val="22"/>
              </w:rPr>
              <w:t xml:space="preserve"> </w:t>
            </w:r>
          </w:p>
          <w:p w:rsidR="003F43B6" w:rsidRDefault="003F43B6" w:rsidP="003F43B6">
            <w:pPr>
              <w:jc w:val="center"/>
              <w:rPr>
                <w:b/>
                <w:sz w:val="22"/>
                <w:szCs w:val="22"/>
              </w:rPr>
            </w:pPr>
          </w:p>
          <w:p w:rsidR="00527297" w:rsidRPr="00560D1B" w:rsidRDefault="003F43B6" w:rsidP="003F43B6">
            <w:pPr>
              <w:jc w:val="center"/>
              <w:rPr>
                <w:rStyle w:val="paragraph"/>
              </w:rPr>
            </w:pPr>
            <w:r w:rsidRPr="008342A1">
              <w:rPr>
                <w:b/>
                <w:sz w:val="22"/>
                <w:szCs w:val="22"/>
              </w:rPr>
              <w:t>_________________</w:t>
            </w:r>
            <w:r>
              <w:rPr>
                <w:b/>
                <w:sz w:val="22"/>
                <w:szCs w:val="22"/>
              </w:rPr>
              <w:t>/</w:t>
            </w:r>
            <w:r w:rsidRPr="008342A1">
              <w:rPr>
                <w:b/>
                <w:sz w:val="22"/>
                <w:szCs w:val="22"/>
              </w:rPr>
              <w:t>Решетников Д.О.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5411" w:type="dxa"/>
          </w:tcPr>
          <w:p w:rsidR="00527297" w:rsidRDefault="00527297" w:rsidP="0052729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  <w:r w:rsidRPr="00560D1B">
              <w:rPr>
                <w:b/>
              </w:rPr>
              <w:t>:</w:t>
            </w:r>
          </w:p>
          <w:p w:rsidR="00527297" w:rsidRDefault="00527297" w:rsidP="00527297">
            <w:pPr>
              <w:snapToGrid w:val="0"/>
              <w:jc w:val="center"/>
              <w:rPr>
                <w:b/>
              </w:rPr>
            </w:pPr>
          </w:p>
          <w:p w:rsidR="00527297" w:rsidRPr="00560D1B" w:rsidRDefault="00527297" w:rsidP="00527297">
            <w:pPr>
              <w:snapToGrid w:val="0"/>
              <w:jc w:val="center"/>
              <w:rPr>
                <w:b/>
              </w:rPr>
            </w:pPr>
          </w:p>
          <w:p w:rsidR="00527297" w:rsidRPr="00560D1B" w:rsidRDefault="00527297" w:rsidP="00527297">
            <w:pPr>
              <w:jc w:val="center"/>
            </w:pPr>
            <w:bookmarkStart w:id="3" w:name="_GoBack"/>
            <w:bookmarkEnd w:id="3"/>
          </w:p>
        </w:tc>
      </w:tr>
      <w:tr w:rsidR="00527297" w:rsidTr="00527297">
        <w:trPr>
          <w:trHeight w:val="940"/>
        </w:trPr>
        <w:tc>
          <w:tcPr>
            <w:tcW w:w="5068" w:type="dxa"/>
          </w:tcPr>
          <w:p w:rsidR="00527297" w:rsidRPr="00560D1B" w:rsidRDefault="00527297" w:rsidP="0052729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411" w:type="dxa"/>
          </w:tcPr>
          <w:p w:rsidR="00527297" w:rsidRPr="00560D1B" w:rsidRDefault="00527297" w:rsidP="0052729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___________/________________/</w:t>
            </w:r>
          </w:p>
        </w:tc>
      </w:tr>
    </w:tbl>
    <w:p w:rsidR="00527297" w:rsidRPr="00527297" w:rsidRDefault="00527297"/>
    <w:sectPr w:rsidR="00527297" w:rsidRPr="00527297" w:rsidSect="00C8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60A3CCE"/>
    <w:multiLevelType w:val="multilevel"/>
    <w:tmpl w:val="E87E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">
    <w:nsid w:val="65AA6D08"/>
    <w:multiLevelType w:val="multilevel"/>
    <w:tmpl w:val="4516F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97"/>
    <w:rsid w:val="003D1D3B"/>
    <w:rsid w:val="003F43B6"/>
    <w:rsid w:val="004E07DF"/>
    <w:rsid w:val="00527297"/>
    <w:rsid w:val="00C02591"/>
    <w:rsid w:val="00C8304E"/>
    <w:rsid w:val="00CE3F56"/>
    <w:rsid w:val="00D60EDA"/>
    <w:rsid w:val="00D615D7"/>
    <w:rsid w:val="00E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97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7297"/>
    <w:rPr>
      <w:color w:val="0000FF"/>
      <w:u w:val="single"/>
    </w:rPr>
  </w:style>
  <w:style w:type="character" w:customStyle="1" w:styleId="paragraph">
    <w:name w:val="paragraph"/>
    <w:basedOn w:val="a0"/>
    <w:rsid w:val="00527297"/>
  </w:style>
  <w:style w:type="paragraph" w:styleId="HTML">
    <w:name w:val="HTML Preformatted"/>
    <w:basedOn w:val="a"/>
    <w:link w:val="HTML0"/>
    <w:rsid w:val="005272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/>
      <w:sz w:val="20"/>
      <w:szCs w:val="20"/>
      <w:lang w:val="x-none" w:eastAsia="ar-SA" w:bidi="ar-SA"/>
    </w:rPr>
  </w:style>
  <w:style w:type="character" w:customStyle="1" w:styleId="HTML0">
    <w:name w:val="Стандартный HTML Знак"/>
    <w:link w:val="HTML"/>
    <w:rsid w:val="00527297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527297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4">
    <w:name w:val="Body Text"/>
    <w:basedOn w:val="a"/>
    <w:link w:val="a5"/>
    <w:uiPriority w:val="99"/>
    <w:unhideWhenUsed/>
    <w:rsid w:val="00527297"/>
    <w:pPr>
      <w:widowControl/>
      <w:suppressAutoHyphens w:val="0"/>
      <w:autoSpaceDE/>
      <w:spacing w:after="120"/>
    </w:pPr>
    <w:rPr>
      <w:lang w:eastAsia="ru-RU" w:bidi="ar-SA"/>
    </w:rPr>
  </w:style>
  <w:style w:type="character" w:customStyle="1" w:styleId="a5">
    <w:name w:val="Основной текст Знак"/>
    <w:link w:val="a4"/>
    <w:uiPriority w:val="99"/>
    <w:rsid w:val="00527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E91CBE"/>
    <w:pPr>
      <w:widowControl/>
      <w:tabs>
        <w:tab w:val="num" w:pos="720"/>
      </w:tabs>
      <w:suppressAutoHyphens w:val="0"/>
      <w:autoSpaceDE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97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7297"/>
    <w:rPr>
      <w:color w:val="0000FF"/>
      <w:u w:val="single"/>
    </w:rPr>
  </w:style>
  <w:style w:type="character" w:customStyle="1" w:styleId="paragraph">
    <w:name w:val="paragraph"/>
    <w:basedOn w:val="a0"/>
    <w:rsid w:val="00527297"/>
  </w:style>
  <w:style w:type="paragraph" w:styleId="HTML">
    <w:name w:val="HTML Preformatted"/>
    <w:basedOn w:val="a"/>
    <w:link w:val="HTML0"/>
    <w:rsid w:val="005272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/>
      <w:sz w:val="20"/>
      <w:szCs w:val="20"/>
      <w:lang w:val="x-none" w:eastAsia="ar-SA" w:bidi="ar-SA"/>
    </w:rPr>
  </w:style>
  <w:style w:type="character" w:customStyle="1" w:styleId="HTML0">
    <w:name w:val="Стандартный HTML Знак"/>
    <w:link w:val="HTML"/>
    <w:rsid w:val="00527297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527297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4">
    <w:name w:val="Body Text"/>
    <w:basedOn w:val="a"/>
    <w:link w:val="a5"/>
    <w:uiPriority w:val="99"/>
    <w:unhideWhenUsed/>
    <w:rsid w:val="00527297"/>
    <w:pPr>
      <w:widowControl/>
      <w:suppressAutoHyphens w:val="0"/>
      <w:autoSpaceDE/>
      <w:spacing w:after="120"/>
    </w:pPr>
    <w:rPr>
      <w:lang w:eastAsia="ru-RU" w:bidi="ar-SA"/>
    </w:rPr>
  </w:style>
  <w:style w:type="character" w:customStyle="1" w:styleId="a5">
    <w:name w:val="Основной текст Знак"/>
    <w:link w:val="a4"/>
    <w:uiPriority w:val="99"/>
    <w:rsid w:val="00527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E91CBE"/>
    <w:pPr>
      <w:widowControl/>
      <w:tabs>
        <w:tab w:val="num" w:pos="720"/>
      </w:tabs>
      <w:suppressAutoHyphens w:val="0"/>
      <w:autoSpaceDE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shetnikov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standa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mailto:reshetnikovdm@mail.ru</vt:lpwstr>
      </vt:variant>
      <vt:variant>
        <vt:lpwstr/>
      </vt:variant>
      <vt:variant>
        <vt:i4>720903</vt:i4>
      </vt:variant>
      <vt:variant>
        <vt:i4>0</vt:i4>
      </vt:variant>
      <vt:variant>
        <vt:i4>0</vt:i4>
      </vt:variant>
      <vt:variant>
        <vt:i4>5</vt:i4>
      </vt:variant>
      <vt:variant>
        <vt:lpwstr>http://tenderstandart.ru/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2026-03-25T07:47:00Z</dcterms:created>
  <dcterms:modified xsi:type="dcterms:W3CDTF">2026-03-25T07:47:00Z</dcterms:modified>
</cp:coreProperties>
</file>