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F7" w:rsidRPr="007B2CC9" w:rsidRDefault="00B85AF7" w:rsidP="00B85AF7">
      <w:pPr>
        <w:pStyle w:val="ConsTitle"/>
        <w:widowControl/>
        <w:jc w:val="right"/>
        <w:rPr>
          <w:rFonts w:ascii="Times New Roman" w:hAnsi="Times New Roman"/>
          <w:sz w:val="24"/>
          <w:szCs w:val="24"/>
        </w:rPr>
      </w:pPr>
    </w:p>
    <w:p w:rsidR="00B85AF7" w:rsidRPr="00065439" w:rsidRDefault="00B85AF7" w:rsidP="00B85AF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ДОГОВОР О ЗАДАТКЕ</w:t>
      </w:r>
    </w:p>
    <w:p w:rsidR="00B85AF7" w:rsidRPr="00065439" w:rsidRDefault="00B85AF7" w:rsidP="00B85AF7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B85AF7" w:rsidRPr="00065439" w:rsidRDefault="00B85AF7" w:rsidP="00B85AF7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г</w:t>
      </w:r>
      <w:r w:rsidR="00D46396" w:rsidRPr="00065439">
        <w:rPr>
          <w:rFonts w:ascii="Times New Roman" w:hAnsi="Times New Roman"/>
          <w:sz w:val="22"/>
          <w:szCs w:val="22"/>
        </w:rPr>
        <w:t>.</w:t>
      </w:r>
      <w:r w:rsidR="008A42F8" w:rsidRPr="00065439">
        <w:rPr>
          <w:rFonts w:ascii="Times New Roman" w:hAnsi="Times New Roman"/>
          <w:sz w:val="22"/>
          <w:szCs w:val="22"/>
        </w:rPr>
        <w:t xml:space="preserve"> </w:t>
      </w:r>
      <w:r w:rsidR="00D46396" w:rsidRPr="00065439">
        <w:rPr>
          <w:rFonts w:ascii="Times New Roman" w:hAnsi="Times New Roman"/>
          <w:sz w:val="22"/>
          <w:szCs w:val="22"/>
        </w:rPr>
        <w:t>Ир</w:t>
      </w:r>
      <w:r w:rsidRPr="00065439">
        <w:rPr>
          <w:rFonts w:ascii="Times New Roman" w:hAnsi="Times New Roman"/>
          <w:sz w:val="22"/>
          <w:szCs w:val="22"/>
        </w:rPr>
        <w:t xml:space="preserve">кутск </w:t>
      </w:r>
      <w:r w:rsidRPr="00065439">
        <w:rPr>
          <w:rFonts w:ascii="Times New Roman" w:hAnsi="Times New Roman"/>
          <w:sz w:val="22"/>
          <w:szCs w:val="22"/>
        </w:rPr>
        <w:tab/>
      </w:r>
      <w:r w:rsidRPr="00065439">
        <w:rPr>
          <w:rFonts w:ascii="Times New Roman" w:hAnsi="Times New Roman"/>
          <w:sz w:val="22"/>
          <w:szCs w:val="22"/>
        </w:rPr>
        <w:tab/>
      </w:r>
      <w:r w:rsidRPr="00065439">
        <w:rPr>
          <w:rFonts w:ascii="Times New Roman" w:hAnsi="Times New Roman"/>
          <w:sz w:val="22"/>
          <w:szCs w:val="22"/>
        </w:rPr>
        <w:tab/>
      </w:r>
      <w:r w:rsidRPr="00065439">
        <w:rPr>
          <w:rFonts w:ascii="Times New Roman" w:hAnsi="Times New Roman"/>
          <w:sz w:val="22"/>
          <w:szCs w:val="22"/>
        </w:rPr>
        <w:tab/>
      </w:r>
      <w:r w:rsidRPr="00065439">
        <w:rPr>
          <w:rFonts w:ascii="Times New Roman" w:hAnsi="Times New Roman"/>
          <w:sz w:val="22"/>
          <w:szCs w:val="22"/>
        </w:rPr>
        <w:tab/>
      </w:r>
      <w:r w:rsidRPr="00065439">
        <w:rPr>
          <w:rFonts w:ascii="Times New Roman" w:hAnsi="Times New Roman"/>
          <w:sz w:val="22"/>
          <w:szCs w:val="22"/>
        </w:rPr>
        <w:tab/>
        <w:t xml:space="preserve">                "___" _____________ 20</w:t>
      </w:r>
      <w:r w:rsidR="00D46396" w:rsidRPr="00065439">
        <w:rPr>
          <w:rFonts w:ascii="Times New Roman" w:hAnsi="Times New Roman"/>
          <w:sz w:val="22"/>
          <w:szCs w:val="22"/>
        </w:rPr>
        <w:t>1</w:t>
      </w:r>
      <w:r w:rsidR="00FB32F5">
        <w:rPr>
          <w:rFonts w:ascii="Times New Roman" w:hAnsi="Times New Roman"/>
          <w:sz w:val="22"/>
          <w:szCs w:val="22"/>
        </w:rPr>
        <w:t>9</w:t>
      </w:r>
      <w:r w:rsidRPr="00065439">
        <w:rPr>
          <w:rFonts w:ascii="Times New Roman" w:hAnsi="Times New Roman"/>
          <w:sz w:val="22"/>
          <w:szCs w:val="22"/>
        </w:rPr>
        <w:t>г.</w:t>
      </w:r>
    </w:p>
    <w:p w:rsidR="00B85AF7" w:rsidRPr="00065439" w:rsidRDefault="00B85AF7" w:rsidP="00B85AF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B85AF7" w:rsidRPr="008509F2" w:rsidRDefault="00B85AF7" w:rsidP="008509F2">
      <w:pPr>
        <w:pStyle w:val="a3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0654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32F5">
        <w:rPr>
          <w:rFonts w:ascii="Times New Roman" w:hAnsi="Times New Roman" w:cs="Times New Roman"/>
          <w:b/>
          <w:sz w:val="22"/>
          <w:szCs w:val="22"/>
        </w:rPr>
        <w:t>МУП АГО «МПК»</w:t>
      </w:r>
      <w:r w:rsidRPr="00065439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Дупенко Ивана Викторовича, действующего на основании решения Арбитражного суда Иркутской области  </w:t>
      </w:r>
      <w:r w:rsidR="00D46396" w:rsidRPr="00065439">
        <w:rPr>
          <w:rFonts w:ascii="Times New Roman" w:hAnsi="Times New Roman" w:cs="Times New Roman"/>
          <w:sz w:val="22"/>
          <w:szCs w:val="22"/>
        </w:rPr>
        <w:t xml:space="preserve">от </w:t>
      </w:r>
      <w:r w:rsidR="000B7E59">
        <w:rPr>
          <w:rFonts w:ascii="Times New Roman" w:hAnsi="Times New Roman" w:cs="Times New Roman"/>
          <w:sz w:val="22"/>
          <w:szCs w:val="22"/>
        </w:rPr>
        <w:t>11.09.</w:t>
      </w:r>
      <w:r w:rsidRPr="00065439">
        <w:rPr>
          <w:rFonts w:ascii="Times New Roman" w:hAnsi="Times New Roman" w:cs="Times New Roman"/>
          <w:sz w:val="22"/>
          <w:szCs w:val="22"/>
        </w:rPr>
        <w:t>201</w:t>
      </w:r>
      <w:r w:rsidR="000B7E59">
        <w:rPr>
          <w:rFonts w:ascii="Times New Roman" w:hAnsi="Times New Roman" w:cs="Times New Roman"/>
          <w:sz w:val="22"/>
          <w:szCs w:val="22"/>
        </w:rPr>
        <w:t>8</w:t>
      </w:r>
      <w:r w:rsidRPr="00065439">
        <w:rPr>
          <w:rFonts w:ascii="Times New Roman" w:hAnsi="Times New Roman" w:cs="Times New Roman"/>
          <w:sz w:val="22"/>
          <w:szCs w:val="22"/>
        </w:rPr>
        <w:t xml:space="preserve"> по делу № А19-</w:t>
      </w:r>
      <w:r w:rsidR="000B7E59">
        <w:rPr>
          <w:rFonts w:ascii="Times New Roman" w:hAnsi="Times New Roman" w:cs="Times New Roman"/>
          <w:sz w:val="22"/>
          <w:szCs w:val="22"/>
        </w:rPr>
        <w:t>28517</w:t>
      </w:r>
      <w:r w:rsidR="00D46396" w:rsidRPr="00065439">
        <w:rPr>
          <w:rFonts w:ascii="Times New Roman" w:hAnsi="Times New Roman" w:cs="Times New Roman"/>
          <w:sz w:val="22"/>
          <w:szCs w:val="22"/>
        </w:rPr>
        <w:t>/2017</w:t>
      </w:r>
      <w:r w:rsidRPr="00065439">
        <w:rPr>
          <w:rFonts w:ascii="Times New Roman" w:hAnsi="Times New Roman" w:cs="Times New Roman"/>
          <w:sz w:val="22"/>
          <w:szCs w:val="22"/>
        </w:rPr>
        <w:t xml:space="preserve"> </w:t>
      </w:r>
      <w:r w:rsidRPr="0006543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именуемый в дальнейшем «Организатор торгов», с одной стороны, и </w:t>
      </w:r>
      <w:r w:rsidR="00FB32F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9F2">
        <w:rPr>
          <w:rFonts w:ascii="Times New Roman" w:hAnsi="Times New Roman" w:cs="Times New Roman"/>
          <w:noProof/>
          <w:color w:val="000000"/>
          <w:sz w:val="22"/>
          <w:szCs w:val="22"/>
        </w:rPr>
        <w:t>имену</w:t>
      </w:r>
      <w:r w:rsidR="008509F2" w:rsidRPr="008509F2">
        <w:rPr>
          <w:rFonts w:ascii="Times New Roman" w:hAnsi="Times New Roman" w:cs="Times New Roman"/>
          <w:noProof/>
          <w:color w:val="000000"/>
          <w:sz w:val="22"/>
          <w:szCs w:val="22"/>
        </w:rPr>
        <w:t>ем</w:t>
      </w:r>
      <w:r w:rsidR="000B7E59">
        <w:rPr>
          <w:rFonts w:ascii="Times New Roman" w:hAnsi="Times New Roman" w:cs="Times New Roman"/>
          <w:noProof/>
          <w:color w:val="000000"/>
          <w:sz w:val="22"/>
          <w:szCs w:val="22"/>
        </w:rPr>
        <w:t>ый</w:t>
      </w:r>
      <w:r w:rsidR="008509F2" w:rsidRPr="008509F2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в дальнейшем «Претендент», </w:t>
      </w:r>
      <w:r w:rsidRPr="008509F2">
        <w:rPr>
          <w:rFonts w:ascii="Times New Roman" w:hAnsi="Times New Roman" w:cs="Times New Roman"/>
          <w:noProof/>
          <w:color w:val="000000"/>
          <w:sz w:val="22"/>
          <w:szCs w:val="22"/>
        </w:rPr>
        <w:t>с другой стороны, заключили настоящий Договор о нижеследующем:</w:t>
      </w:r>
    </w:p>
    <w:p w:rsidR="00B85AF7" w:rsidRPr="00065439" w:rsidRDefault="00B85AF7" w:rsidP="00B85AF7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1. ПРЕДМЕТ ДОГОВОРА</w:t>
      </w:r>
    </w:p>
    <w:p w:rsidR="00B85AF7" w:rsidRPr="00065439" w:rsidRDefault="00B85AF7" w:rsidP="00B85AF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B85AF7" w:rsidRPr="00065439" w:rsidRDefault="00B85AF7" w:rsidP="00B85AF7">
      <w:pPr>
        <w:pStyle w:val="ConsNormal"/>
        <w:widowControl/>
        <w:ind w:firstLine="68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="00A47509" w:rsidRPr="00065439">
        <w:rPr>
          <w:rFonts w:ascii="Times New Roman" w:hAnsi="Times New Roman"/>
          <w:sz w:val="22"/>
          <w:szCs w:val="22"/>
        </w:rPr>
        <w:t xml:space="preserve">Для участия в торгах по продаже </w:t>
      </w:r>
      <w:r w:rsidR="00EA35E6" w:rsidRPr="00065439">
        <w:rPr>
          <w:rFonts w:ascii="Times New Roman" w:hAnsi="Times New Roman"/>
          <w:sz w:val="22"/>
          <w:szCs w:val="22"/>
        </w:rPr>
        <w:t xml:space="preserve">нижеперечисленного </w:t>
      </w:r>
      <w:r w:rsidR="00A47509" w:rsidRPr="00065439">
        <w:rPr>
          <w:rFonts w:ascii="Times New Roman" w:hAnsi="Times New Roman"/>
          <w:sz w:val="22"/>
          <w:szCs w:val="22"/>
        </w:rPr>
        <w:t xml:space="preserve">имущества </w:t>
      </w:r>
      <w:r w:rsidR="000B7E59">
        <w:rPr>
          <w:rFonts w:ascii="Times New Roman" w:hAnsi="Times New Roman"/>
          <w:sz w:val="22"/>
          <w:szCs w:val="22"/>
        </w:rPr>
        <w:t xml:space="preserve">МУП АГО «МПК» </w:t>
      </w:r>
      <w:r w:rsidR="00A47509" w:rsidRPr="00065439">
        <w:rPr>
          <w:rFonts w:ascii="Times New Roman" w:hAnsi="Times New Roman"/>
          <w:sz w:val="22"/>
          <w:szCs w:val="22"/>
        </w:rPr>
        <w:t xml:space="preserve"> в форме открытого аукциона по составу участников и форме подачи предложений по цене на ЭТП </w:t>
      </w:r>
      <w:r w:rsidR="00FB32F5">
        <w:rPr>
          <w:rFonts w:ascii="Times New Roman" w:hAnsi="Times New Roman"/>
          <w:sz w:val="22"/>
          <w:szCs w:val="22"/>
        </w:rPr>
        <w:t>Тендер Стандарт</w:t>
      </w:r>
      <w:r w:rsidR="00A47509" w:rsidRPr="00065439">
        <w:rPr>
          <w:rFonts w:ascii="Times New Roman" w:hAnsi="Times New Roman"/>
          <w:sz w:val="22"/>
          <w:szCs w:val="22"/>
        </w:rPr>
        <w:t>, сайт</w:t>
      </w:r>
      <w:r w:rsidR="00FB32F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="00FB32F5" w:rsidRPr="00427DCF">
          <w:rPr>
            <w:rStyle w:val="a5"/>
            <w:rFonts w:ascii="Times New Roman" w:hAnsi="Times New Roman"/>
            <w:sz w:val="22"/>
            <w:szCs w:val="22"/>
          </w:rPr>
          <w:t>www.tenderstandart.ru</w:t>
        </w:r>
      </w:hyperlink>
      <w:r w:rsidR="00FB32F5">
        <w:rPr>
          <w:rFonts w:ascii="Times New Roman" w:hAnsi="Times New Roman"/>
          <w:sz w:val="22"/>
          <w:szCs w:val="22"/>
        </w:rPr>
        <w:t xml:space="preserve">. </w:t>
      </w:r>
      <w:r w:rsidRPr="00065439">
        <w:rPr>
          <w:rFonts w:ascii="Times New Roman" w:hAnsi="Times New Roman"/>
          <w:sz w:val="22"/>
          <w:szCs w:val="22"/>
        </w:rPr>
        <w:t>Претендент обязуется перечислить на расчетный счет Организатора торгов</w:t>
      </w:r>
      <w:r w:rsidR="00A47509" w:rsidRPr="00065439">
        <w:rPr>
          <w:rFonts w:ascii="Times New Roman" w:hAnsi="Times New Roman"/>
          <w:sz w:val="22"/>
          <w:szCs w:val="22"/>
        </w:rPr>
        <w:t>, указанного в данном договоре</w:t>
      </w:r>
      <w:r w:rsidRPr="00065439">
        <w:rPr>
          <w:rFonts w:ascii="Times New Roman" w:hAnsi="Times New Roman"/>
          <w:sz w:val="22"/>
          <w:szCs w:val="22"/>
        </w:rPr>
        <w:t xml:space="preserve"> задаток в размере 10 (десять) процентов от начальной цены продажи имущества в счет обеспечения оплаты приобретаемого</w:t>
      </w:r>
      <w:proofErr w:type="gramEnd"/>
      <w:r w:rsidRPr="0006543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65439">
        <w:rPr>
          <w:rFonts w:ascii="Times New Roman" w:hAnsi="Times New Roman"/>
          <w:sz w:val="22"/>
          <w:szCs w:val="22"/>
        </w:rPr>
        <w:t>на торгах</w:t>
      </w:r>
      <w:proofErr w:type="gramEnd"/>
      <w:r w:rsidRPr="00065439">
        <w:rPr>
          <w:rFonts w:ascii="Times New Roman" w:hAnsi="Times New Roman"/>
          <w:sz w:val="22"/>
          <w:szCs w:val="22"/>
        </w:rPr>
        <w:t xml:space="preserve">, проводимого на условиях, опубликованных в газете Коммерсантъ  от </w:t>
      </w:r>
      <w:r w:rsidR="00FB32F5">
        <w:rPr>
          <w:rFonts w:ascii="Times New Roman" w:hAnsi="Times New Roman"/>
          <w:sz w:val="22"/>
          <w:szCs w:val="22"/>
        </w:rPr>
        <w:t>16.02</w:t>
      </w:r>
      <w:r w:rsidRPr="00065439">
        <w:rPr>
          <w:rFonts w:ascii="Times New Roman" w:hAnsi="Times New Roman"/>
          <w:sz w:val="22"/>
          <w:szCs w:val="22"/>
        </w:rPr>
        <w:t>.201</w:t>
      </w:r>
      <w:r w:rsidR="00FB32F5">
        <w:rPr>
          <w:rFonts w:ascii="Times New Roman" w:hAnsi="Times New Roman"/>
          <w:sz w:val="22"/>
          <w:szCs w:val="22"/>
        </w:rPr>
        <w:t>9</w:t>
      </w:r>
      <w:r w:rsidRPr="00065439">
        <w:rPr>
          <w:rFonts w:ascii="Times New Roman" w:hAnsi="Times New Roman"/>
          <w:sz w:val="22"/>
          <w:szCs w:val="22"/>
        </w:rPr>
        <w:t xml:space="preserve">года, </w:t>
      </w:r>
      <w:r w:rsidR="00A47509" w:rsidRPr="00065439">
        <w:rPr>
          <w:rFonts w:ascii="Times New Roman" w:hAnsi="Times New Roman"/>
          <w:sz w:val="22"/>
          <w:szCs w:val="22"/>
        </w:rPr>
        <w:t>а Организатор торгов обязуется принять данный задаток.</w:t>
      </w:r>
    </w:p>
    <w:p w:rsidR="007A5A32" w:rsidRPr="00065439" w:rsidRDefault="007A5A32" w:rsidP="00B85AF7">
      <w:pPr>
        <w:pStyle w:val="ConsNormal"/>
        <w:widowControl/>
        <w:ind w:firstLine="680"/>
        <w:jc w:val="both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2126"/>
        <w:gridCol w:w="1701"/>
      </w:tblGrid>
      <w:tr w:rsidR="00FB32F5" w:rsidRPr="00FB32F5" w:rsidTr="00FB32F5">
        <w:tc>
          <w:tcPr>
            <w:tcW w:w="993" w:type="dxa"/>
          </w:tcPr>
          <w:p w:rsidR="00FB32F5" w:rsidRPr="00FB32F5" w:rsidRDefault="00FB32F5" w:rsidP="00B61DC0">
            <w:pPr>
              <w:pStyle w:val="1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32F5" w:rsidRPr="00FB32F5" w:rsidRDefault="00FB32F5" w:rsidP="00FB32F5">
            <w:pPr>
              <w:pStyle w:val="1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126" w:type="dxa"/>
          </w:tcPr>
          <w:p w:rsidR="00FB32F5" w:rsidRPr="00FB32F5" w:rsidRDefault="00FB32F5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1701" w:type="dxa"/>
          </w:tcPr>
          <w:p w:rsidR="00FB32F5" w:rsidRPr="00FB32F5" w:rsidRDefault="00FB32F5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>Размер задатка, руб.</w:t>
            </w:r>
          </w:p>
        </w:tc>
      </w:tr>
      <w:tr w:rsidR="00FB32F5" w:rsidRPr="00FB32F5" w:rsidTr="00FB32F5">
        <w:tc>
          <w:tcPr>
            <w:tcW w:w="993" w:type="dxa"/>
          </w:tcPr>
          <w:p w:rsidR="00FB32F5" w:rsidRPr="00FB32F5" w:rsidRDefault="00FB32F5" w:rsidP="00B61DC0">
            <w:pPr>
              <w:pStyle w:val="1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2"/>
                <w:szCs w:val="22"/>
                <w:u w:val="single"/>
              </w:rPr>
            </w:pPr>
            <w:r w:rsidRPr="00FB32F5">
              <w:rPr>
                <w:sz w:val="22"/>
                <w:szCs w:val="22"/>
                <w:u w:val="single"/>
              </w:rPr>
              <w:t>Лот №1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32F5" w:rsidRPr="00FB32F5" w:rsidRDefault="00FB32F5" w:rsidP="00B61DC0">
            <w:pPr>
              <w:pStyle w:val="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 xml:space="preserve">Нежилое здание, общей площадью  404,1 кв.м., кад. номер 38:26:040103:4638 адрес: Иркутская область, </w:t>
            </w:r>
            <w:proofErr w:type="gramStart"/>
            <w:r w:rsidRPr="00FB32F5">
              <w:rPr>
                <w:sz w:val="22"/>
                <w:szCs w:val="22"/>
              </w:rPr>
              <w:t>г</w:t>
            </w:r>
            <w:proofErr w:type="gramEnd"/>
            <w:r w:rsidRPr="00FB32F5">
              <w:rPr>
                <w:sz w:val="22"/>
                <w:szCs w:val="22"/>
              </w:rPr>
              <w:t>. Ангарск, кв. 78, д. 16</w:t>
            </w:r>
          </w:p>
        </w:tc>
        <w:tc>
          <w:tcPr>
            <w:tcW w:w="2126" w:type="dxa"/>
          </w:tcPr>
          <w:p w:rsidR="00FB32F5" w:rsidRPr="00FB32F5" w:rsidRDefault="00FB32F5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>3 794 000</w:t>
            </w:r>
          </w:p>
        </w:tc>
        <w:tc>
          <w:tcPr>
            <w:tcW w:w="1701" w:type="dxa"/>
          </w:tcPr>
          <w:p w:rsidR="00FB32F5" w:rsidRPr="000B7E59" w:rsidRDefault="000B7E59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0B7E59">
              <w:rPr>
                <w:sz w:val="22"/>
                <w:szCs w:val="22"/>
              </w:rPr>
              <w:t>379 400</w:t>
            </w:r>
          </w:p>
        </w:tc>
      </w:tr>
      <w:tr w:rsidR="00FB32F5" w:rsidRPr="00FB32F5" w:rsidTr="00FB32F5">
        <w:tc>
          <w:tcPr>
            <w:tcW w:w="993" w:type="dxa"/>
          </w:tcPr>
          <w:p w:rsidR="00FB32F5" w:rsidRPr="00FB32F5" w:rsidRDefault="00FB32F5" w:rsidP="00B61DC0">
            <w:pPr>
              <w:pStyle w:val="1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2"/>
                <w:szCs w:val="22"/>
                <w:u w:val="single"/>
              </w:rPr>
            </w:pPr>
            <w:r w:rsidRPr="00FB32F5">
              <w:rPr>
                <w:sz w:val="22"/>
                <w:szCs w:val="22"/>
                <w:u w:val="single"/>
              </w:rPr>
              <w:t>Лот №2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32F5" w:rsidRPr="00FB32F5" w:rsidRDefault="00FB32F5" w:rsidP="00B61DC0">
            <w:pPr>
              <w:pStyle w:val="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 xml:space="preserve">Право аренды на земельный участок, площадью 895 кв.м., категория земель: земли населенных пунктов, разрешенное использование: для эксплуатации здания ремонтного участка, адрес объекта: Иркутская область, </w:t>
            </w:r>
            <w:proofErr w:type="gramStart"/>
            <w:r w:rsidRPr="00FB32F5">
              <w:rPr>
                <w:sz w:val="22"/>
                <w:szCs w:val="22"/>
              </w:rPr>
              <w:t>г</w:t>
            </w:r>
            <w:proofErr w:type="gramEnd"/>
            <w:r w:rsidRPr="00FB32F5">
              <w:rPr>
                <w:sz w:val="22"/>
                <w:szCs w:val="22"/>
              </w:rPr>
              <w:t>. Ангарск, кв. 78, д. 16</w:t>
            </w:r>
          </w:p>
        </w:tc>
        <w:tc>
          <w:tcPr>
            <w:tcW w:w="2126" w:type="dxa"/>
          </w:tcPr>
          <w:p w:rsidR="00FB32F5" w:rsidRPr="00FB32F5" w:rsidRDefault="00FB32F5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>206 000</w:t>
            </w:r>
          </w:p>
        </w:tc>
        <w:tc>
          <w:tcPr>
            <w:tcW w:w="1701" w:type="dxa"/>
          </w:tcPr>
          <w:p w:rsidR="00FB32F5" w:rsidRPr="000B7E59" w:rsidRDefault="000B7E59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0B7E59">
              <w:rPr>
                <w:sz w:val="22"/>
                <w:szCs w:val="22"/>
              </w:rPr>
              <w:t>20 600</w:t>
            </w:r>
          </w:p>
        </w:tc>
      </w:tr>
      <w:tr w:rsidR="00FB32F5" w:rsidRPr="00FB32F5" w:rsidTr="00FB32F5">
        <w:tc>
          <w:tcPr>
            <w:tcW w:w="993" w:type="dxa"/>
          </w:tcPr>
          <w:p w:rsidR="00FB32F5" w:rsidRPr="00FB32F5" w:rsidRDefault="00FB32F5" w:rsidP="00B61DC0">
            <w:pPr>
              <w:pStyle w:val="1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2"/>
                <w:szCs w:val="22"/>
                <w:u w:val="single"/>
              </w:rPr>
            </w:pPr>
            <w:r w:rsidRPr="00FB32F5">
              <w:rPr>
                <w:sz w:val="22"/>
                <w:szCs w:val="22"/>
                <w:u w:val="single"/>
              </w:rPr>
              <w:t>Лот№3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32F5" w:rsidRPr="00FB32F5" w:rsidRDefault="00FB32F5" w:rsidP="00B61DC0">
            <w:pPr>
              <w:pStyle w:val="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 xml:space="preserve">Транспортное средство: ГАЗ 32213, год выпуска 2007, государственный регистрационный знак </w:t>
            </w:r>
            <w:proofErr w:type="gramStart"/>
            <w:r w:rsidRPr="00FB32F5">
              <w:rPr>
                <w:sz w:val="22"/>
                <w:szCs w:val="22"/>
              </w:rPr>
              <w:t>Р</w:t>
            </w:r>
            <w:proofErr w:type="gramEnd"/>
            <w:r w:rsidRPr="00FB32F5">
              <w:rPr>
                <w:sz w:val="22"/>
                <w:szCs w:val="22"/>
              </w:rPr>
              <w:t xml:space="preserve"> 364 РВ 38</w:t>
            </w:r>
          </w:p>
        </w:tc>
        <w:tc>
          <w:tcPr>
            <w:tcW w:w="2126" w:type="dxa"/>
          </w:tcPr>
          <w:p w:rsidR="00FB32F5" w:rsidRPr="00FB32F5" w:rsidRDefault="00FB32F5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B32F5">
              <w:rPr>
                <w:sz w:val="22"/>
                <w:szCs w:val="22"/>
              </w:rPr>
              <w:t>128 000</w:t>
            </w:r>
          </w:p>
        </w:tc>
        <w:tc>
          <w:tcPr>
            <w:tcW w:w="1701" w:type="dxa"/>
          </w:tcPr>
          <w:p w:rsidR="00FB32F5" w:rsidRPr="000B7E59" w:rsidRDefault="000B7E59" w:rsidP="00B61DC0">
            <w:pPr>
              <w:pStyle w:val="1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0B7E59">
              <w:rPr>
                <w:sz w:val="22"/>
                <w:szCs w:val="22"/>
              </w:rPr>
              <w:t>12 800</w:t>
            </w:r>
          </w:p>
        </w:tc>
      </w:tr>
    </w:tbl>
    <w:p w:rsidR="00A47509" w:rsidRPr="00065439" w:rsidRDefault="00A47509" w:rsidP="00B85AF7">
      <w:pPr>
        <w:pStyle w:val="ConsNormal"/>
        <w:widowControl/>
        <w:ind w:firstLine="680"/>
        <w:jc w:val="both"/>
        <w:rPr>
          <w:rFonts w:ascii="Times New Roman" w:hAnsi="Times New Roman"/>
          <w:sz w:val="22"/>
          <w:szCs w:val="22"/>
        </w:rPr>
      </w:pPr>
    </w:p>
    <w:p w:rsidR="00B85AF7" w:rsidRDefault="00B85AF7" w:rsidP="00B85AF7">
      <w:pPr>
        <w:pStyle w:val="ConsNormal"/>
        <w:widowControl/>
        <w:ind w:firstLine="68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1.2. </w:t>
      </w:r>
      <w:r w:rsidR="00FB32F5">
        <w:rPr>
          <w:rFonts w:ascii="Times New Roman" w:hAnsi="Times New Roman"/>
          <w:sz w:val="22"/>
          <w:szCs w:val="22"/>
        </w:rPr>
        <w:t>У</w:t>
      </w:r>
      <w:r w:rsidRPr="00065439">
        <w:rPr>
          <w:rFonts w:ascii="Times New Roman" w:hAnsi="Times New Roman"/>
          <w:sz w:val="22"/>
          <w:szCs w:val="22"/>
        </w:rPr>
        <w:t>словия перечисления задатка и участия в торгах</w:t>
      </w:r>
      <w:r w:rsidR="007A5A32" w:rsidRPr="00065439">
        <w:rPr>
          <w:rFonts w:ascii="Times New Roman" w:hAnsi="Times New Roman"/>
          <w:sz w:val="22"/>
          <w:szCs w:val="22"/>
        </w:rPr>
        <w:t xml:space="preserve"> </w:t>
      </w:r>
      <w:r w:rsidRPr="00065439">
        <w:rPr>
          <w:rFonts w:ascii="Times New Roman" w:hAnsi="Times New Roman"/>
          <w:sz w:val="22"/>
          <w:szCs w:val="22"/>
        </w:rPr>
        <w:t xml:space="preserve">указаны в информационном сообщении о продаже имущества, опубликованного в газете Коммерсантъ от </w:t>
      </w:r>
      <w:r w:rsidR="00FB32F5">
        <w:rPr>
          <w:rFonts w:ascii="Times New Roman" w:hAnsi="Times New Roman"/>
          <w:sz w:val="22"/>
          <w:szCs w:val="22"/>
        </w:rPr>
        <w:t>16.02.</w:t>
      </w:r>
      <w:r w:rsidR="00D46396" w:rsidRPr="00065439">
        <w:rPr>
          <w:rFonts w:ascii="Times New Roman" w:hAnsi="Times New Roman"/>
          <w:sz w:val="22"/>
          <w:szCs w:val="22"/>
        </w:rPr>
        <w:t>201</w:t>
      </w:r>
      <w:r w:rsidR="00FB32F5">
        <w:rPr>
          <w:rFonts w:ascii="Times New Roman" w:hAnsi="Times New Roman"/>
          <w:sz w:val="22"/>
          <w:szCs w:val="22"/>
        </w:rPr>
        <w:t>9</w:t>
      </w:r>
      <w:r w:rsidRPr="00065439">
        <w:rPr>
          <w:rFonts w:ascii="Times New Roman" w:hAnsi="Times New Roman"/>
          <w:sz w:val="22"/>
          <w:szCs w:val="22"/>
        </w:rPr>
        <w:t>года.</w:t>
      </w:r>
    </w:p>
    <w:p w:rsidR="008509F2" w:rsidRPr="00065439" w:rsidRDefault="008509F2" w:rsidP="00B85AF7">
      <w:pPr>
        <w:pStyle w:val="ConsNormal"/>
        <w:widowControl/>
        <w:ind w:firstLine="680"/>
        <w:jc w:val="both"/>
        <w:rPr>
          <w:rFonts w:ascii="Times New Roman" w:hAnsi="Times New Roman"/>
          <w:sz w:val="22"/>
          <w:szCs w:val="22"/>
        </w:rPr>
      </w:pPr>
    </w:p>
    <w:p w:rsidR="00B85AF7" w:rsidRPr="00065439" w:rsidRDefault="00D6621B" w:rsidP="00B85AF7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2. ПЕРЕЧИСЛЕНИЕ ЗАДАТКА</w:t>
      </w:r>
    </w:p>
    <w:p w:rsidR="00B85AF7" w:rsidRPr="00065439" w:rsidRDefault="00B85AF7" w:rsidP="00B85AF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B85AF7" w:rsidRPr="00065439" w:rsidRDefault="00B85AF7" w:rsidP="00D6621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2.1. Претендент </w:t>
      </w:r>
      <w:r w:rsidR="00D6621B" w:rsidRPr="00065439">
        <w:rPr>
          <w:rFonts w:ascii="Times New Roman" w:hAnsi="Times New Roman"/>
          <w:sz w:val="22"/>
          <w:szCs w:val="22"/>
        </w:rPr>
        <w:t xml:space="preserve">перечисляет задаток </w:t>
      </w:r>
      <w:r w:rsidRPr="00065439">
        <w:rPr>
          <w:rFonts w:ascii="Times New Roman" w:hAnsi="Times New Roman"/>
          <w:sz w:val="22"/>
          <w:szCs w:val="22"/>
        </w:rPr>
        <w:t xml:space="preserve">на </w:t>
      </w:r>
      <w:r w:rsidR="00061199" w:rsidRPr="00065439">
        <w:rPr>
          <w:rFonts w:ascii="Times New Roman" w:hAnsi="Times New Roman"/>
          <w:sz w:val="22"/>
          <w:szCs w:val="22"/>
        </w:rPr>
        <w:t>задатковый</w:t>
      </w:r>
      <w:r w:rsidRPr="00065439">
        <w:rPr>
          <w:rFonts w:ascii="Times New Roman" w:hAnsi="Times New Roman"/>
          <w:sz w:val="22"/>
          <w:szCs w:val="22"/>
        </w:rPr>
        <w:t xml:space="preserve"> счет Организатора торгов в срок не позднее даты по</w:t>
      </w:r>
      <w:r w:rsidR="00401CC8" w:rsidRPr="00065439">
        <w:rPr>
          <w:rFonts w:ascii="Times New Roman" w:hAnsi="Times New Roman"/>
          <w:sz w:val="22"/>
          <w:szCs w:val="22"/>
        </w:rPr>
        <w:t>дачи заявки на участие в торгах.</w:t>
      </w:r>
    </w:p>
    <w:p w:rsidR="00B85AF7" w:rsidRDefault="00B85AF7" w:rsidP="00B85AF7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к участию в торгах он не допускается.</w:t>
      </w:r>
    </w:p>
    <w:p w:rsidR="008509F2" w:rsidRPr="00065439" w:rsidRDefault="008509F2" w:rsidP="00B85AF7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01CC8" w:rsidRPr="00065439" w:rsidRDefault="00401CC8" w:rsidP="00401CC8">
      <w:pPr>
        <w:pStyle w:val="ConsNormal"/>
        <w:widowControl/>
        <w:ind w:firstLine="540"/>
        <w:jc w:val="center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3. ВОЗВРАТ ЗАДАТКА</w:t>
      </w:r>
    </w:p>
    <w:p w:rsidR="00401CC8" w:rsidRPr="00065439" w:rsidRDefault="00401CC8" w:rsidP="00401CC8">
      <w:pPr>
        <w:pStyle w:val="ConsNormal"/>
        <w:widowControl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065439" w:rsidRPr="00065439" w:rsidRDefault="00401CC8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3.1. </w:t>
      </w:r>
      <w:r w:rsidR="00065439" w:rsidRPr="00065439">
        <w:rPr>
          <w:rFonts w:ascii="Times New Roman" w:hAnsi="Times New Roman"/>
          <w:sz w:val="22"/>
          <w:szCs w:val="22"/>
        </w:rPr>
        <w:t xml:space="preserve">Задаток возвращается в случаях и в сроки, которые установлены пунктами 3.2 – 3.4 настоящего договора путем перечисления суммы внесенного задатка на счет Претендента. Претендент обязан незамедлительно информировать </w:t>
      </w:r>
      <w:r w:rsidR="000B7E59">
        <w:rPr>
          <w:rFonts w:ascii="Times New Roman" w:hAnsi="Times New Roman"/>
          <w:sz w:val="22"/>
          <w:szCs w:val="22"/>
        </w:rPr>
        <w:t>Организатора торгов</w:t>
      </w:r>
      <w:r w:rsidR="00065439" w:rsidRPr="00065439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 </w:t>
      </w:r>
      <w:r w:rsidR="000B7E59">
        <w:rPr>
          <w:rFonts w:ascii="Times New Roman" w:hAnsi="Times New Roman"/>
          <w:sz w:val="22"/>
          <w:szCs w:val="22"/>
        </w:rPr>
        <w:t xml:space="preserve">Организатора торгов </w:t>
      </w:r>
      <w:r w:rsidR="00065439" w:rsidRPr="00065439">
        <w:rPr>
          <w:rFonts w:ascii="Times New Roman" w:hAnsi="Times New Roman"/>
          <w:sz w:val="22"/>
          <w:szCs w:val="22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0B7E59">
        <w:rPr>
          <w:rFonts w:ascii="Times New Roman" w:hAnsi="Times New Roman"/>
          <w:sz w:val="22"/>
          <w:szCs w:val="22"/>
        </w:rPr>
        <w:t>Организатора торгов</w:t>
      </w:r>
      <w:r w:rsidR="00065439" w:rsidRPr="00065439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3.2. </w:t>
      </w:r>
      <w:r w:rsidR="000B7E59">
        <w:rPr>
          <w:rFonts w:ascii="Times New Roman" w:hAnsi="Times New Roman"/>
          <w:sz w:val="22"/>
          <w:szCs w:val="22"/>
        </w:rPr>
        <w:t>Организатора торгов</w:t>
      </w:r>
      <w:r w:rsidRPr="00065439">
        <w:rPr>
          <w:rFonts w:ascii="Times New Roman" w:hAnsi="Times New Roman"/>
          <w:sz w:val="22"/>
          <w:szCs w:val="22"/>
        </w:rPr>
        <w:t xml:space="preserve"> возвращает Претенденту денежные средства, внесенные в качестве обеспечения заявки на участие в торгах путем перечисления денежных средств на </w:t>
      </w:r>
      <w:proofErr w:type="gramStart"/>
      <w:r w:rsidRPr="00065439">
        <w:rPr>
          <w:rFonts w:ascii="Times New Roman" w:hAnsi="Times New Roman"/>
          <w:sz w:val="22"/>
          <w:szCs w:val="22"/>
        </w:rPr>
        <w:t>банковский</w:t>
      </w:r>
      <w:proofErr w:type="gramEnd"/>
      <w:r w:rsidRPr="00065439">
        <w:rPr>
          <w:rFonts w:ascii="Times New Roman" w:hAnsi="Times New Roman"/>
          <w:sz w:val="22"/>
          <w:szCs w:val="22"/>
        </w:rPr>
        <w:t xml:space="preserve"> счет, указанный в настоящем договоре в следующих случаях и в следующие сроки: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- в течение пяти рабочих дней со дня принятия Продавцом решения об отказе от проведения торгов;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lastRenderedPageBreak/>
        <w:t>- в течение пяти рабочих дней со дня подписания протокола рассмотрения заявок на участие в торгах участнику (</w:t>
      </w:r>
      <w:proofErr w:type="spellStart"/>
      <w:r w:rsidRPr="00065439">
        <w:rPr>
          <w:rFonts w:ascii="Times New Roman" w:hAnsi="Times New Roman"/>
          <w:sz w:val="22"/>
          <w:szCs w:val="22"/>
        </w:rPr>
        <w:t>ам</w:t>
      </w:r>
      <w:proofErr w:type="spellEnd"/>
      <w:r w:rsidRPr="00065439">
        <w:rPr>
          <w:rFonts w:ascii="Times New Roman" w:hAnsi="Times New Roman"/>
          <w:sz w:val="22"/>
          <w:szCs w:val="22"/>
        </w:rPr>
        <w:t>) торгов, которому (</w:t>
      </w:r>
      <w:proofErr w:type="spellStart"/>
      <w:r w:rsidRPr="00065439">
        <w:rPr>
          <w:rFonts w:ascii="Times New Roman" w:hAnsi="Times New Roman"/>
          <w:sz w:val="22"/>
          <w:szCs w:val="22"/>
        </w:rPr>
        <w:t>ым</w:t>
      </w:r>
      <w:proofErr w:type="spellEnd"/>
      <w:r w:rsidRPr="00065439">
        <w:rPr>
          <w:rFonts w:ascii="Times New Roman" w:hAnsi="Times New Roman"/>
          <w:sz w:val="22"/>
          <w:szCs w:val="22"/>
        </w:rPr>
        <w:t xml:space="preserve">) отказано в допуске к участию в торгах;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- в течение пяти рабочих дней со дня подписания протокола об определении победителя торгов участникам торгов, которые участвовали в торгах, но не стали победителями торгов.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 - в течение пяти рабочих дней со дня подписания протокола об определении победителя торгов участникам торгов, заявки на участие в торгах которых получены после окончания приема заявок на участие в торгах и возвращены.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Денежные средства, внесенные в качестве обеспечения заявки на участие в торгах, не возвращаются в случае уклонения победителя от заключения договора.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3.3. Внесенный задаток не возвращается в случае, если участник торгов, признанный победителем торгов: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-уклонится от подписания Протокола о результатах торгов в установленный срок (уклонится от заключения в установленный извещением о проведении торгов срок Договора купли-продажи имущества);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- уклонится от оплаты продаваемого на торгах Имущества в течение срока, указанного в публикации о торгах, подписания им договора купли-продажи.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3.4. Внесенный задаток не возвращается в случае, если единственный участник, признанный победителем торгов: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- уклонится от подписания Протокола о результатах торгов в установленный срок (уклонится от заключения в установленный извещением о проведении торгов срок Договора купли-продажи имущества); 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- уклонится от оплаты продаваемого на торгах Имущества в течение срока, указанного в публикации о торгах, подписания им договора купли-продажи.</w:t>
      </w:r>
    </w:p>
    <w:p w:rsidR="00401CC8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 3.5.Задаток, внесенный участником торгов, признанным его победителем засчитывается в счет оплаты приобретаемого им на торгах Имущества.</w:t>
      </w:r>
    </w:p>
    <w:p w:rsidR="00065439" w:rsidRPr="00065439" w:rsidRDefault="00065439" w:rsidP="00401CC8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B85AF7" w:rsidRPr="00065439" w:rsidRDefault="00065439" w:rsidP="00B85AF7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4</w:t>
      </w:r>
      <w:r w:rsidR="00B85AF7" w:rsidRPr="00065439">
        <w:rPr>
          <w:rFonts w:ascii="Times New Roman" w:hAnsi="Times New Roman"/>
          <w:sz w:val="22"/>
          <w:szCs w:val="22"/>
        </w:rPr>
        <w:t xml:space="preserve">. </w:t>
      </w:r>
      <w:r w:rsidRPr="00065439">
        <w:rPr>
          <w:rFonts w:ascii="Times New Roman" w:hAnsi="Times New Roman"/>
          <w:sz w:val="22"/>
          <w:szCs w:val="22"/>
        </w:rPr>
        <w:t>ИНЫЕ УСЛОВИЯ</w:t>
      </w:r>
    </w:p>
    <w:p w:rsidR="00B85AF7" w:rsidRPr="00065439" w:rsidRDefault="00B85AF7" w:rsidP="00B85AF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B85AF7" w:rsidRPr="00065439" w:rsidRDefault="00065439" w:rsidP="00B85AF7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4</w:t>
      </w:r>
      <w:r w:rsidR="00B85AF7" w:rsidRPr="00065439">
        <w:rPr>
          <w:rFonts w:ascii="Times New Roman" w:hAnsi="Times New Roman"/>
          <w:sz w:val="22"/>
          <w:szCs w:val="22"/>
        </w:rPr>
        <w:t>.1. Настоящий договор вступае</w:t>
      </w:r>
      <w:r w:rsidRPr="00065439">
        <w:rPr>
          <w:rFonts w:ascii="Times New Roman" w:hAnsi="Times New Roman"/>
          <w:sz w:val="22"/>
          <w:szCs w:val="22"/>
        </w:rPr>
        <w:t>т в силу со дня его подписания С</w:t>
      </w:r>
      <w:r w:rsidR="00B85AF7" w:rsidRPr="00065439">
        <w:rPr>
          <w:rFonts w:ascii="Times New Roman" w:hAnsi="Times New Roman"/>
          <w:sz w:val="22"/>
          <w:szCs w:val="22"/>
        </w:rPr>
        <w:t>торонами</w:t>
      </w:r>
      <w:r w:rsidRPr="00065439">
        <w:rPr>
          <w:rFonts w:ascii="Times New Roman" w:hAnsi="Times New Roman"/>
          <w:sz w:val="22"/>
          <w:szCs w:val="22"/>
        </w:rPr>
        <w:t xml:space="preserve"> и прекращает свое действие после исполнения Сторонами всех обязательств по нему.</w:t>
      </w:r>
    </w:p>
    <w:p w:rsidR="00B85AF7" w:rsidRPr="00065439" w:rsidRDefault="00065439" w:rsidP="00B85AF7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>4.2. С</w:t>
      </w:r>
      <w:r w:rsidR="00B85AF7" w:rsidRPr="00065439">
        <w:rPr>
          <w:rFonts w:ascii="Times New Roman" w:hAnsi="Times New Roman"/>
          <w:sz w:val="22"/>
          <w:szCs w:val="22"/>
        </w:rPr>
        <w:t>поры, возникающие при исполнении настоящего договора, разрешаются сторонами путем переговоров между собой, а в случае не достижения согласия - рассматриваются в Арбитражном суде</w:t>
      </w:r>
      <w:r w:rsidRPr="00065439">
        <w:rPr>
          <w:rFonts w:ascii="Times New Roman" w:hAnsi="Times New Roman"/>
          <w:sz w:val="22"/>
          <w:szCs w:val="22"/>
        </w:rPr>
        <w:t xml:space="preserve"> Иркутской области</w:t>
      </w:r>
      <w:r w:rsidR="00B85AF7" w:rsidRPr="00065439">
        <w:rPr>
          <w:rFonts w:ascii="Times New Roman" w:hAnsi="Times New Roman"/>
          <w:sz w:val="22"/>
          <w:szCs w:val="22"/>
        </w:rPr>
        <w:t>.</w:t>
      </w:r>
    </w:p>
    <w:p w:rsidR="00B85AF7" w:rsidRPr="00065439" w:rsidRDefault="00B85AF7" w:rsidP="00B85AF7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065439">
        <w:rPr>
          <w:rFonts w:ascii="Times New Roman" w:hAnsi="Times New Roman"/>
          <w:sz w:val="22"/>
          <w:szCs w:val="22"/>
        </w:rPr>
        <w:t xml:space="preserve">4.2. Настоящий договор составлен в двух экземплярах, имеющих одинаковую юридическую силу, </w:t>
      </w:r>
      <w:r w:rsidR="00065439" w:rsidRPr="00065439">
        <w:rPr>
          <w:rFonts w:ascii="Times New Roman" w:hAnsi="Times New Roman"/>
          <w:sz w:val="22"/>
          <w:szCs w:val="22"/>
        </w:rPr>
        <w:t>по одному для каждой из Сторон.</w:t>
      </w:r>
    </w:p>
    <w:p w:rsidR="00B85AF7" w:rsidRPr="00065439" w:rsidRDefault="00B85AF7" w:rsidP="00B85AF7">
      <w:pPr>
        <w:ind w:firstLine="540"/>
        <w:jc w:val="both"/>
        <w:rPr>
          <w:sz w:val="22"/>
          <w:szCs w:val="22"/>
        </w:rPr>
      </w:pPr>
      <w:r w:rsidRPr="00065439">
        <w:rPr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B85AF7" w:rsidRPr="00065439" w:rsidRDefault="00B85AF7" w:rsidP="00B85AF7">
      <w:pPr>
        <w:ind w:firstLine="540"/>
        <w:jc w:val="both"/>
        <w:rPr>
          <w:sz w:val="22"/>
          <w:szCs w:val="22"/>
        </w:rPr>
      </w:pPr>
    </w:p>
    <w:p w:rsidR="00B85AF7" w:rsidRPr="00065439" w:rsidRDefault="00B85AF7" w:rsidP="00B85AF7">
      <w:pPr>
        <w:tabs>
          <w:tab w:val="left" w:pos="3315"/>
        </w:tabs>
        <w:jc w:val="center"/>
        <w:rPr>
          <w:sz w:val="22"/>
          <w:szCs w:val="22"/>
        </w:rPr>
      </w:pPr>
      <w:r w:rsidRPr="00065439">
        <w:rPr>
          <w:sz w:val="22"/>
          <w:szCs w:val="22"/>
        </w:rPr>
        <w:t>5.</w:t>
      </w:r>
      <w:r w:rsidR="00065439" w:rsidRPr="00065439">
        <w:rPr>
          <w:sz w:val="22"/>
          <w:szCs w:val="22"/>
        </w:rPr>
        <w:t xml:space="preserve"> ЮРИДИЧЕСКИЕ </w:t>
      </w:r>
      <w:r w:rsidRPr="00065439">
        <w:rPr>
          <w:sz w:val="22"/>
          <w:szCs w:val="22"/>
        </w:rPr>
        <w:t>АДРЕСА И БАНКОВСКИЕ РЕКВИЗИТЫ СТОРОН</w:t>
      </w:r>
    </w:p>
    <w:p w:rsidR="00B85AF7" w:rsidRPr="00065439" w:rsidRDefault="00B85AF7" w:rsidP="00B85AF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B85AF7" w:rsidRPr="00065439" w:rsidRDefault="00B85AF7" w:rsidP="00B85AF7">
      <w:pPr>
        <w:keepNext/>
        <w:ind w:left="708" w:firstLine="708"/>
        <w:rPr>
          <w:b/>
          <w:color w:val="000000"/>
          <w:sz w:val="22"/>
          <w:szCs w:val="22"/>
        </w:rPr>
      </w:pPr>
      <w:r w:rsidRPr="00065439">
        <w:rPr>
          <w:b/>
          <w:color w:val="000000"/>
          <w:sz w:val="22"/>
          <w:szCs w:val="22"/>
        </w:rPr>
        <w:t>Организатор торгов:</w:t>
      </w:r>
      <w:r w:rsidRPr="00065439">
        <w:rPr>
          <w:b/>
          <w:color w:val="000000"/>
          <w:sz w:val="22"/>
          <w:szCs w:val="22"/>
        </w:rPr>
        <w:tab/>
      </w:r>
      <w:r w:rsidRPr="00065439">
        <w:rPr>
          <w:b/>
          <w:color w:val="000000"/>
          <w:sz w:val="22"/>
          <w:szCs w:val="22"/>
        </w:rPr>
        <w:tab/>
      </w:r>
      <w:r w:rsidRPr="00065439">
        <w:rPr>
          <w:b/>
          <w:color w:val="000000"/>
          <w:sz w:val="22"/>
          <w:szCs w:val="22"/>
        </w:rPr>
        <w:tab/>
      </w:r>
      <w:r w:rsidRPr="00065439">
        <w:rPr>
          <w:b/>
          <w:color w:val="000000"/>
          <w:sz w:val="22"/>
          <w:szCs w:val="22"/>
        </w:rPr>
        <w:tab/>
      </w:r>
      <w:r w:rsidRPr="00065439">
        <w:rPr>
          <w:b/>
          <w:color w:val="000000"/>
          <w:sz w:val="22"/>
          <w:szCs w:val="22"/>
        </w:rPr>
        <w:tab/>
        <w:t>Претендент:</w:t>
      </w:r>
    </w:p>
    <w:p w:rsidR="00D46396" w:rsidRPr="00065439" w:rsidRDefault="00D46396" w:rsidP="00B85AF7">
      <w:pPr>
        <w:keepNext/>
        <w:ind w:left="708" w:firstLine="708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4702"/>
        <w:gridCol w:w="4444"/>
      </w:tblGrid>
      <w:tr w:rsidR="00D46396" w:rsidRPr="00065439" w:rsidTr="00065439">
        <w:tc>
          <w:tcPr>
            <w:tcW w:w="4702" w:type="dxa"/>
          </w:tcPr>
          <w:p w:rsidR="00D46396" w:rsidRPr="000A6C0D" w:rsidRDefault="00FB32F5" w:rsidP="00D46396">
            <w:pPr>
              <w:jc w:val="both"/>
              <w:rPr>
                <w:b/>
                <w:sz w:val="24"/>
                <w:szCs w:val="24"/>
              </w:rPr>
            </w:pPr>
            <w:r w:rsidRPr="000A6C0D">
              <w:rPr>
                <w:b/>
                <w:sz w:val="24"/>
                <w:szCs w:val="24"/>
              </w:rPr>
              <w:t>МУП АГО «МПК»</w:t>
            </w:r>
          </w:p>
          <w:p w:rsidR="00D46396" w:rsidRPr="000A6C0D" w:rsidRDefault="00D46396" w:rsidP="00D46396">
            <w:pPr>
              <w:rPr>
                <w:sz w:val="24"/>
                <w:szCs w:val="24"/>
              </w:rPr>
            </w:pPr>
            <w:r w:rsidRPr="000A6C0D">
              <w:rPr>
                <w:sz w:val="24"/>
                <w:szCs w:val="24"/>
              </w:rPr>
              <w:t xml:space="preserve">ИНН </w:t>
            </w:r>
            <w:r w:rsidR="000A6C0D">
              <w:rPr>
                <w:sz w:val="24"/>
                <w:szCs w:val="24"/>
              </w:rPr>
              <w:t xml:space="preserve">3801118835 </w:t>
            </w:r>
            <w:r w:rsidR="000A6C0D" w:rsidRPr="000A6C0D">
              <w:rPr>
                <w:sz w:val="24"/>
                <w:szCs w:val="24"/>
              </w:rPr>
              <w:t xml:space="preserve">КПП </w:t>
            </w:r>
            <w:r w:rsidRPr="000A6C0D">
              <w:rPr>
                <w:sz w:val="24"/>
                <w:szCs w:val="24"/>
              </w:rPr>
              <w:t>38</w:t>
            </w:r>
            <w:r w:rsidR="000A6C0D">
              <w:rPr>
                <w:sz w:val="24"/>
                <w:szCs w:val="24"/>
              </w:rPr>
              <w:t>0101001</w:t>
            </w:r>
          </w:p>
          <w:p w:rsidR="000A6C0D" w:rsidRPr="000A6C0D" w:rsidRDefault="000A6C0D" w:rsidP="00D46396">
            <w:pPr>
              <w:rPr>
                <w:sz w:val="24"/>
                <w:szCs w:val="24"/>
              </w:rPr>
            </w:pPr>
          </w:p>
          <w:p w:rsidR="000A6C0D" w:rsidRPr="000A6C0D" w:rsidRDefault="000A6C0D" w:rsidP="000A6C0D">
            <w:pPr>
              <w:rPr>
                <w:sz w:val="24"/>
                <w:szCs w:val="24"/>
              </w:rPr>
            </w:pPr>
            <w:r w:rsidRPr="000A6C0D">
              <w:rPr>
                <w:sz w:val="24"/>
                <w:szCs w:val="24"/>
              </w:rPr>
              <w:t>Банк получателя: доп. Офис № 8586 ПАО Сбербанк </w:t>
            </w:r>
            <w:r w:rsidRPr="000A6C0D">
              <w:rPr>
                <w:sz w:val="24"/>
                <w:szCs w:val="24"/>
              </w:rPr>
              <w:br/>
              <w:t>Счет получателя 40702810018350026899, </w:t>
            </w:r>
            <w:r w:rsidRPr="000A6C0D">
              <w:rPr>
                <w:sz w:val="24"/>
                <w:szCs w:val="24"/>
              </w:rPr>
              <w:br/>
              <w:t>к/</w:t>
            </w:r>
            <w:proofErr w:type="spellStart"/>
            <w:r w:rsidRPr="000A6C0D">
              <w:rPr>
                <w:sz w:val="24"/>
                <w:szCs w:val="24"/>
              </w:rPr>
              <w:t>сч</w:t>
            </w:r>
            <w:proofErr w:type="spellEnd"/>
            <w:r w:rsidRPr="000A6C0D">
              <w:rPr>
                <w:sz w:val="24"/>
                <w:szCs w:val="24"/>
              </w:rPr>
              <w:t xml:space="preserve"> 30101810900000000607, </w:t>
            </w:r>
            <w:r w:rsidRPr="000A6C0D">
              <w:rPr>
                <w:sz w:val="24"/>
                <w:szCs w:val="24"/>
              </w:rPr>
              <w:br/>
              <w:t>БИК 042520607, </w:t>
            </w:r>
            <w:r w:rsidRPr="000A6C0D">
              <w:rPr>
                <w:sz w:val="24"/>
                <w:szCs w:val="24"/>
              </w:rPr>
              <w:br/>
              <w:t>ИНН 7707083893 КПП 380802001</w:t>
            </w:r>
          </w:p>
          <w:p w:rsidR="00D46396" w:rsidRPr="000A6C0D" w:rsidRDefault="00D46396" w:rsidP="00A405E6">
            <w:pPr>
              <w:rPr>
                <w:sz w:val="24"/>
                <w:szCs w:val="24"/>
              </w:rPr>
            </w:pPr>
            <w:r w:rsidRPr="000A6C0D">
              <w:rPr>
                <w:sz w:val="24"/>
                <w:szCs w:val="24"/>
              </w:rPr>
              <w:t xml:space="preserve">Юридический адрес: </w:t>
            </w:r>
            <w:r w:rsidR="00A405E6">
              <w:rPr>
                <w:sz w:val="24"/>
                <w:szCs w:val="24"/>
              </w:rPr>
              <w:t xml:space="preserve">665830, Иркутская область, </w:t>
            </w:r>
            <w:proofErr w:type="gramStart"/>
            <w:r w:rsidR="00A405E6">
              <w:rPr>
                <w:sz w:val="24"/>
                <w:szCs w:val="24"/>
              </w:rPr>
              <w:t>г</w:t>
            </w:r>
            <w:proofErr w:type="gramEnd"/>
            <w:r w:rsidR="00A405E6">
              <w:rPr>
                <w:sz w:val="24"/>
                <w:szCs w:val="24"/>
              </w:rPr>
              <w:t>. Ангарск, квартал 78, д. 16</w:t>
            </w:r>
          </w:p>
          <w:p w:rsidR="00D46396" w:rsidRPr="000A6C0D" w:rsidRDefault="00D46396" w:rsidP="00D46396">
            <w:pPr>
              <w:jc w:val="both"/>
              <w:rPr>
                <w:sz w:val="24"/>
                <w:szCs w:val="24"/>
              </w:rPr>
            </w:pPr>
          </w:p>
          <w:p w:rsidR="00D46396" w:rsidRPr="000A6C0D" w:rsidRDefault="00D46396" w:rsidP="00D46396">
            <w:pPr>
              <w:jc w:val="both"/>
              <w:rPr>
                <w:sz w:val="24"/>
                <w:szCs w:val="24"/>
              </w:rPr>
            </w:pPr>
            <w:r w:rsidRPr="000A6C0D">
              <w:rPr>
                <w:sz w:val="24"/>
                <w:szCs w:val="24"/>
              </w:rPr>
              <w:t xml:space="preserve">Конкурсный управляющий </w:t>
            </w:r>
          </w:p>
          <w:p w:rsidR="00D46396" w:rsidRPr="000A6C0D" w:rsidRDefault="00D46396" w:rsidP="00D46396">
            <w:pPr>
              <w:jc w:val="both"/>
              <w:rPr>
                <w:sz w:val="24"/>
                <w:szCs w:val="24"/>
              </w:rPr>
            </w:pPr>
          </w:p>
          <w:p w:rsidR="00D46396" w:rsidRPr="000A6C0D" w:rsidRDefault="00D46396" w:rsidP="00D463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0D">
              <w:rPr>
                <w:rFonts w:ascii="Times New Roman" w:hAnsi="Times New Roman"/>
                <w:sz w:val="24"/>
                <w:szCs w:val="24"/>
              </w:rPr>
              <w:t>___________________     Дупенко И.В.</w:t>
            </w:r>
          </w:p>
          <w:p w:rsidR="00D46396" w:rsidRPr="00065439" w:rsidRDefault="00D46396" w:rsidP="00D46396">
            <w:pPr>
              <w:rPr>
                <w:sz w:val="22"/>
                <w:szCs w:val="22"/>
              </w:rPr>
            </w:pPr>
          </w:p>
          <w:p w:rsidR="00D46396" w:rsidRPr="00065439" w:rsidRDefault="00D46396" w:rsidP="000A6C0D">
            <w:pPr>
              <w:rPr>
                <w:b/>
                <w:sz w:val="22"/>
                <w:szCs w:val="22"/>
              </w:rPr>
            </w:pPr>
          </w:p>
        </w:tc>
        <w:tc>
          <w:tcPr>
            <w:tcW w:w="4444" w:type="dxa"/>
          </w:tcPr>
          <w:p w:rsidR="00D46396" w:rsidRPr="00065439" w:rsidRDefault="00D46396" w:rsidP="008509F2">
            <w:pPr>
              <w:keepNext/>
              <w:rPr>
                <w:b/>
                <w:sz w:val="22"/>
                <w:szCs w:val="22"/>
              </w:rPr>
            </w:pPr>
          </w:p>
        </w:tc>
      </w:tr>
    </w:tbl>
    <w:p w:rsidR="00D46396" w:rsidRPr="00065439" w:rsidRDefault="00D46396" w:rsidP="00061199">
      <w:pPr>
        <w:rPr>
          <w:sz w:val="22"/>
          <w:szCs w:val="22"/>
        </w:rPr>
      </w:pPr>
    </w:p>
    <w:sectPr w:rsidR="00D46396" w:rsidRPr="00065439" w:rsidSect="00065439">
      <w:pgSz w:w="11906" w:h="16838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F7"/>
    <w:rsid w:val="00015036"/>
    <w:rsid w:val="00061199"/>
    <w:rsid w:val="00065439"/>
    <w:rsid w:val="000A6C0D"/>
    <w:rsid w:val="000B7E59"/>
    <w:rsid w:val="000F54BA"/>
    <w:rsid w:val="00145926"/>
    <w:rsid w:val="00187541"/>
    <w:rsid w:val="00194014"/>
    <w:rsid w:val="002D2768"/>
    <w:rsid w:val="00401CC8"/>
    <w:rsid w:val="004655C7"/>
    <w:rsid w:val="0050147C"/>
    <w:rsid w:val="005E62CA"/>
    <w:rsid w:val="006C54D7"/>
    <w:rsid w:val="006E701F"/>
    <w:rsid w:val="00736D68"/>
    <w:rsid w:val="007A5A32"/>
    <w:rsid w:val="007D1C10"/>
    <w:rsid w:val="008509F2"/>
    <w:rsid w:val="008A42F8"/>
    <w:rsid w:val="008C21E3"/>
    <w:rsid w:val="008F7E7E"/>
    <w:rsid w:val="00A405E6"/>
    <w:rsid w:val="00A47509"/>
    <w:rsid w:val="00A540EE"/>
    <w:rsid w:val="00A84106"/>
    <w:rsid w:val="00B85AF7"/>
    <w:rsid w:val="00BD0CA6"/>
    <w:rsid w:val="00D46396"/>
    <w:rsid w:val="00D6621B"/>
    <w:rsid w:val="00EA226A"/>
    <w:rsid w:val="00EA35E6"/>
    <w:rsid w:val="00FB32F5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5A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85A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85A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85A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agolovok6">
    <w:name w:val="zagolovok6"/>
    <w:rsid w:val="00B8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5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9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B32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Admin</cp:lastModifiedBy>
  <cp:revision>18</cp:revision>
  <cp:lastPrinted>2018-11-16T03:02:00Z</cp:lastPrinted>
  <dcterms:created xsi:type="dcterms:W3CDTF">2017-06-29T11:17:00Z</dcterms:created>
  <dcterms:modified xsi:type="dcterms:W3CDTF">2019-02-14T04:00:00Z</dcterms:modified>
</cp:coreProperties>
</file>